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77638" w14:textId="055843A4" w:rsidR="00BD5088" w:rsidRPr="00C8045F" w:rsidRDefault="00D93B80" w:rsidP="379969BA">
      <w:pPr>
        <w:pStyle w:val="Heading1"/>
        <w:ind w:firstLine="720"/>
        <w:jc w:val="center"/>
        <w:rPr>
          <w:rFonts w:asciiTheme="minorHAnsi" w:hAnsiTheme="minorHAnsi"/>
          <w:color w:val="auto"/>
        </w:rPr>
      </w:pPr>
      <w:r w:rsidRPr="379969BA">
        <w:rPr>
          <w:rFonts w:asciiTheme="minorHAnsi" w:hAnsiTheme="minorHAnsi"/>
          <w:color w:val="auto"/>
        </w:rPr>
        <w:t xml:space="preserve">Digital Accessibility &amp; </w:t>
      </w:r>
      <w:r w:rsidR="00C44884" w:rsidRPr="379969BA">
        <w:rPr>
          <w:rFonts w:asciiTheme="minorHAnsi" w:hAnsiTheme="minorHAnsi"/>
          <w:color w:val="auto"/>
        </w:rPr>
        <w:t xml:space="preserve">508 Compliance </w:t>
      </w:r>
      <w:r>
        <w:br/>
      </w:r>
      <w:r w:rsidR="00C3327F" w:rsidRPr="379969BA">
        <w:rPr>
          <w:color w:val="auto"/>
        </w:rPr>
        <w:t xml:space="preserve">Information and </w:t>
      </w:r>
      <w:r w:rsidR="00C44884" w:rsidRPr="379969BA">
        <w:rPr>
          <w:color w:val="auto"/>
        </w:rPr>
        <w:t>Resources</w:t>
      </w:r>
    </w:p>
    <w:p w14:paraId="34F360FC" w14:textId="4877C56F" w:rsidR="004F01ED" w:rsidRPr="00C8045F" w:rsidRDefault="004F01ED" w:rsidP="0095374C">
      <w:pPr>
        <w:pStyle w:val="Heading2"/>
        <w:rPr>
          <w:color w:val="auto"/>
        </w:rPr>
      </w:pPr>
      <w:r w:rsidRPr="00C8045F">
        <w:rPr>
          <w:color w:val="auto"/>
        </w:rPr>
        <w:t>What the law requires</w:t>
      </w:r>
    </w:p>
    <w:p w14:paraId="77DC6362" w14:textId="48ECB6D3" w:rsidR="004F01ED" w:rsidRPr="004F01ED" w:rsidRDefault="004F01ED" w:rsidP="004F01ED">
      <w:pPr>
        <w:numPr>
          <w:ilvl w:val="0"/>
          <w:numId w:val="12"/>
        </w:numPr>
      </w:pPr>
      <w:r w:rsidRPr="004F01ED">
        <w:t xml:space="preserve">Title II of the ADA now has a specific rule requiring all state and local governments, </w:t>
      </w:r>
      <w:r w:rsidR="009E5CA5">
        <w:t>including conservation districts</w:t>
      </w:r>
      <w:r w:rsidRPr="004F01ED">
        <w:t>, to make web content and mobile apps accessible.</w:t>
      </w:r>
    </w:p>
    <w:p w14:paraId="75C79F22" w14:textId="0B69C214" w:rsidR="00206223" w:rsidRPr="00206223" w:rsidRDefault="004F01ED" w:rsidP="004F01ED">
      <w:pPr>
        <w:numPr>
          <w:ilvl w:val="0"/>
          <w:numId w:val="12"/>
        </w:numPr>
        <w:rPr>
          <w:b/>
          <w:bCs/>
        </w:rPr>
      </w:pPr>
      <w:r w:rsidRPr="004F01ED">
        <w:t>The rule adopts </w:t>
      </w:r>
      <w:r w:rsidR="00DC1D96" w:rsidRPr="00BE3120">
        <w:t>WCAG 2.1 A and AA</w:t>
      </w:r>
      <w:r w:rsidR="00DC1D96">
        <w:rPr>
          <w:rStyle w:val="FootnoteReference"/>
        </w:rPr>
        <w:footnoteReference w:id="1"/>
      </w:r>
      <w:r w:rsidR="00DC1D96" w:rsidRPr="004F01ED">
        <w:t xml:space="preserve"> </w:t>
      </w:r>
      <w:r w:rsidRPr="004F01ED">
        <w:t>as the technical standard for accessibility of websites, online documents, forms, and apps.</w:t>
      </w:r>
    </w:p>
    <w:p w14:paraId="18082EEE" w14:textId="4274963D" w:rsidR="00206223" w:rsidRDefault="004975B4" w:rsidP="004F01ED">
      <w:pPr>
        <w:numPr>
          <w:ilvl w:val="0"/>
          <w:numId w:val="12"/>
        </w:numPr>
      </w:pPr>
      <w:r>
        <w:t>S</w:t>
      </w:r>
      <w:r w:rsidR="007F5006" w:rsidRPr="007F5006">
        <w:t>tate and local governments generally must meet WCAG 2.1 Level AA for their web content and mobile apps.</w:t>
      </w:r>
    </w:p>
    <w:p w14:paraId="12E9D38E" w14:textId="67F4E17C" w:rsidR="00BD5088" w:rsidRPr="00EA4C68" w:rsidRDefault="00BE3120" w:rsidP="004F01ED">
      <w:pPr>
        <w:numPr>
          <w:ilvl w:val="0"/>
          <w:numId w:val="12"/>
        </w:numPr>
      </w:pPr>
      <w:r>
        <w:t>T</w:t>
      </w:r>
      <w:r w:rsidRPr="00BE3120">
        <w:t>hat means, in practice, your digital services are considered compliant with the rule if they conform to WCAG 2.1 A and AA success criteri</w:t>
      </w:r>
      <w:r>
        <w:t>a.</w:t>
      </w:r>
      <w:r w:rsidR="00C8045F">
        <w:br/>
      </w:r>
    </w:p>
    <w:p w14:paraId="49EBFE5F" w14:textId="666D1BB5" w:rsidR="004F01ED" w:rsidRPr="00C8045F" w:rsidRDefault="004F01ED" w:rsidP="0095374C">
      <w:pPr>
        <w:pStyle w:val="Heading2"/>
        <w:rPr>
          <w:color w:val="auto"/>
        </w:rPr>
      </w:pPr>
      <w:r w:rsidRPr="00C8045F">
        <w:rPr>
          <w:color w:val="auto"/>
        </w:rPr>
        <w:t xml:space="preserve">Deadline for </w:t>
      </w:r>
      <w:r w:rsidR="00BD5088" w:rsidRPr="00C8045F">
        <w:rPr>
          <w:color w:val="auto"/>
        </w:rPr>
        <w:t>conservation districts</w:t>
      </w:r>
    </w:p>
    <w:p w14:paraId="18EE38D3" w14:textId="63AD0B91" w:rsidR="007B2BF6" w:rsidRPr="007B2BF6" w:rsidRDefault="007B2BF6" w:rsidP="00A13FE9">
      <w:pPr>
        <w:numPr>
          <w:ilvl w:val="0"/>
          <w:numId w:val="13"/>
        </w:numPr>
        <w:rPr>
          <w:b/>
          <w:bCs/>
        </w:rPr>
      </w:pPr>
      <w:r>
        <w:t xml:space="preserve">Compliance for state governments is </w:t>
      </w:r>
      <w:r w:rsidRPr="007B2BF6">
        <w:rPr>
          <w:b/>
          <w:bCs/>
        </w:rPr>
        <w:t>April 2</w:t>
      </w:r>
      <w:r w:rsidR="00280AD1">
        <w:rPr>
          <w:b/>
          <w:bCs/>
        </w:rPr>
        <w:t>4</w:t>
      </w:r>
      <w:r w:rsidRPr="007B2BF6">
        <w:rPr>
          <w:b/>
          <w:bCs/>
        </w:rPr>
        <w:t>, 2026.</w:t>
      </w:r>
    </w:p>
    <w:p w14:paraId="402DF88F" w14:textId="509255B1" w:rsidR="004F01ED" w:rsidRPr="004F01ED" w:rsidRDefault="00A13FE9" w:rsidP="00A13FE9">
      <w:pPr>
        <w:numPr>
          <w:ilvl w:val="0"/>
          <w:numId w:val="13"/>
        </w:numPr>
        <w:rPr>
          <w:b/>
          <w:bCs/>
        </w:rPr>
      </w:pPr>
      <w:r w:rsidRPr="00A13FE9">
        <w:t>Compliance deadline for conservation districts is</w:t>
      </w:r>
      <w:r>
        <w:rPr>
          <w:b/>
          <w:bCs/>
        </w:rPr>
        <w:t xml:space="preserve"> </w:t>
      </w:r>
      <w:r w:rsidR="004F01ED" w:rsidRPr="004F01ED">
        <w:rPr>
          <w:b/>
          <w:bCs/>
        </w:rPr>
        <w:t>April 26, 2027.</w:t>
      </w:r>
    </w:p>
    <w:p w14:paraId="6661BC32" w14:textId="77777777" w:rsidR="004F01ED" w:rsidRPr="004F01ED" w:rsidRDefault="004F01ED" w:rsidP="004F01ED">
      <w:pPr>
        <w:numPr>
          <w:ilvl w:val="0"/>
          <w:numId w:val="13"/>
        </w:numPr>
      </w:pPr>
      <w:r w:rsidRPr="004F01ED">
        <w:t>After this date, you must stay in compliance on an ongoing basis as you add or update web content and apps.</w:t>
      </w:r>
    </w:p>
    <w:p w14:paraId="7B6374C2" w14:textId="387B4F07" w:rsidR="00BD5088" w:rsidRPr="00EA4C68" w:rsidRDefault="00BD5088" w:rsidP="004A39E8">
      <w:pPr>
        <w:numPr>
          <w:ilvl w:val="0"/>
          <w:numId w:val="13"/>
        </w:numPr>
      </w:pPr>
      <w:r w:rsidRPr="001B720B">
        <w:t>Noncompliance can lead to DOJ enforcement, federal investigations, settlement agreements, and private complaints under ADA Title II.</w:t>
      </w:r>
      <w:r w:rsidR="00C8045F">
        <w:br/>
      </w:r>
    </w:p>
    <w:p w14:paraId="7E705B04" w14:textId="7A071DB2" w:rsidR="004A39E8" w:rsidRPr="00C8045F" w:rsidRDefault="00BD5088" w:rsidP="0095374C">
      <w:pPr>
        <w:pStyle w:val="Heading2"/>
        <w:rPr>
          <w:color w:val="auto"/>
          <w:lang w:val="en"/>
        </w:rPr>
      </w:pPr>
      <w:r w:rsidRPr="00C8045F">
        <w:rPr>
          <w:color w:val="auto"/>
          <w:lang w:val="en"/>
        </w:rPr>
        <w:lastRenderedPageBreak/>
        <w:t xml:space="preserve">High-level </w:t>
      </w:r>
      <w:r w:rsidR="004A39E8" w:rsidRPr="00C8045F">
        <w:rPr>
          <w:color w:val="auto"/>
          <w:lang w:val="en"/>
        </w:rPr>
        <w:t>action plan leading up to April 26, 2027</w:t>
      </w:r>
    </w:p>
    <w:p w14:paraId="133943D1" w14:textId="17CADD25" w:rsidR="004A39E8" w:rsidRPr="00BD5088" w:rsidRDefault="004A39E8" w:rsidP="00BD5088">
      <w:pPr>
        <w:numPr>
          <w:ilvl w:val="0"/>
          <w:numId w:val="14"/>
        </w:numPr>
        <w:rPr>
          <w:lang w:val="en"/>
        </w:rPr>
      </w:pPr>
      <w:r w:rsidRPr="004A39E8">
        <w:rPr>
          <w:lang w:val="en"/>
        </w:rPr>
        <w:t>Adopt WCAG 2.1 AA as your standard</w:t>
      </w:r>
      <w:r w:rsidR="00BD5088">
        <w:rPr>
          <w:lang w:val="en"/>
        </w:rPr>
        <w:t xml:space="preserve"> </w:t>
      </w:r>
      <w:r w:rsidR="00BD5088" w:rsidRPr="004A39E8">
        <w:rPr>
          <w:lang w:val="en"/>
        </w:rPr>
        <w:t>as the standard you will follow for your website, web apps, online forms, and mobile apps.</w:t>
      </w:r>
      <w:r w:rsidR="00BD5088">
        <w:rPr>
          <w:lang w:val="en"/>
        </w:rPr>
        <w:t xml:space="preserve"> </w:t>
      </w:r>
      <w:r w:rsidRPr="00BD5088">
        <w:rPr>
          <w:lang w:val="en"/>
        </w:rPr>
        <w:t>Reference this standard in your internal policy and in a public accessibility statement on your main website.</w:t>
      </w:r>
    </w:p>
    <w:p w14:paraId="471CFFC6" w14:textId="2C8F28FA" w:rsidR="00BD5088" w:rsidRDefault="004A39E8" w:rsidP="00BD5088">
      <w:pPr>
        <w:numPr>
          <w:ilvl w:val="0"/>
          <w:numId w:val="14"/>
        </w:numPr>
        <w:rPr>
          <w:lang w:val="en"/>
        </w:rPr>
      </w:pPr>
      <w:r w:rsidRPr="3BBC83C0">
        <w:rPr>
          <w:lang w:val="en"/>
        </w:rPr>
        <w:t>Inventory what you must fix</w:t>
      </w:r>
    </w:p>
    <w:p w14:paraId="71B6B646" w14:textId="65A268E3" w:rsidR="004A39E8" w:rsidRPr="004A39E8" w:rsidRDefault="004A39E8" w:rsidP="3BBC83C0">
      <w:pPr>
        <w:numPr>
          <w:ilvl w:val="0"/>
          <w:numId w:val="14"/>
        </w:numPr>
      </w:pPr>
      <w:r w:rsidRPr="3BBC83C0">
        <w:t>Run an initial accessibility check</w:t>
      </w:r>
      <w:r w:rsidR="00EA4C68" w:rsidRPr="3BBC83C0">
        <w:t xml:space="preserve"> using automated tools and checklists</w:t>
      </w:r>
    </w:p>
    <w:p w14:paraId="5A5B142D" w14:textId="27B53844" w:rsidR="004A39E8" w:rsidRPr="004A39E8" w:rsidRDefault="004A39E8" w:rsidP="004A39E8">
      <w:pPr>
        <w:numPr>
          <w:ilvl w:val="0"/>
          <w:numId w:val="14"/>
        </w:numPr>
        <w:rPr>
          <w:lang w:val="en"/>
        </w:rPr>
      </w:pPr>
      <w:r w:rsidRPr="004A39E8">
        <w:rPr>
          <w:lang w:val="en"/>
        </w:rPr>
        <w:t>Train</w:t>
      </w:r>
      <w:r w:rsidR="00BD5088">
        <w:rPr>
          <w:lang w:val="en"/>
        </w:rPr>
        <w:t xml:space="preserve"> up</w:t>
      </w:r>
      <w:r w:rsidRPr="004A39E8">
        <w:rPr>
          <w:lang w:val="en"/>
        </w:rPr>
        <w:t xml:space="preserve"> and integrate accessibility into workflows</w:t>
      </w:r>
    </w:p>
    <w:p w14:paraId="7EED0E8C" w14:textId="6D93987B" w:rsidR="00EA4C68" w:rsidRPr="00EA4C68" w:rsidRDefault="004A39E8" w:rsidP="004C3587">
      <w:pPr>
        <w:numPr>
          <w:ilvl w:val="0"/>
          <w:numId w:val="14"/>
        </w:numPr>
        <w:rPr>
          <w:lang w:val="en"/>
        </w:rPr>
      </w:pPr>
      <w:r w:rsidRPr="004A39E8">
        <w:rPr>
          <w:lang w:val="en"/>
        </w:rPr>
        <w:t>Monitor and keep improving</w:t>
      </w:r>
      <w:r w:rsidR="00C8045F">
        <w:rPr>
          <w:lang w:val="en"/>
        </w:rPr>
        <w:br/>
      </w:r>
    </w:p>
    <w:p w14:paraId="5691A721" w14:textId="66DE72F5" w:rsidR="0084117E" w:rsidRPr="00C8045F" w:rsidRDefault="004A39E8" w:rsidP="0095374C">
      <w:pPr>
        <w:pStyle w:val="Heading2"/>
        <w:rPr>
          <w:color w:val="auto"/>
          <w:lang w:val="en"/>
        </w:rPr>
      </w:pPr>
      <w:r w:rsidRPr="00C8045F">
        <w:rPr>
          <w:color w:val="auto"/>
          <w:lang w:val="en"/>
        </w:rPr>
        <w:t>Key resources</w:t>
      </w:r>
      <w:r w:rsidR="008436C2" w:rsidRPr="00C8045F">
        <w:rPr>
          <w:color w:val="auto"/>
          <w:lang w:val="en"/>
        </w:rPr>
        <w:t xml:space="preserve"> and training tools</w:t>
      </w:r>
    </w:p>
    <w:p w14:paraId="2025B193" w14:textId="77777777" w:rsidR="0010621E" w:rsidRPr="001D7412" w:rsidRDefault="0010621E" w:rsidP="0010621E">
      <w:hyperlink r:id="rId11" w:history="1">
        <w:r w:rsidRPr="00693D09">
          <w:rPr>
            <w:rStyle w:val="Hyperlink"/>
          </w:rPr>
          <w:t>ADA.gov</w:t>
        </w:r>
      </w:hyperlink>
      <w:r w:rsidRPr="00693D09">
        <w:t xml:space="preserve"> – </w:t>
      </w:r>
      <w:r w:rsidRPr="0033413A">
        <w:t>https://www.ada.gov/resources/web-guidance/</w:t>
      </w:r>
    </w:p>
    <w:p w14:paraId="611A100B" w14:textId="77777777" w:rsidR="0010621E" w:rsidRPr="004A39E8" w:rsidRDefault="0010621E" w:rsidP="0010621E">
      <w:pPr>
        <w:ind w:left="720"/>
        <w:rPr>
          <w:lang w:val="en"/>
        </w:rPr>
      </w:pPr>
      <w:hyperlink r:id="rId12" w:history="1">
        <w:r w:rsidRPr="004A39E8">
          <w:rPr>
            <w:rStyle w:val="Hyperlink"/>
            <w:lang w:val="en"/>
          </w:rPr>
          <w:t>Fact Sheet: New Rule on the Accessibility of Web Content and Mobile Apps</w:t>
        </w:r>
      </w:hyperlink>
    </w:p>
    <w:p w14:paraId="3FE671D1" w14:textId="77777777" w:rsidR="0010621E" w:rsidRPr="004A39E8" w:rsidRDefault="0010621E" w:rsidP="3BBC83C0">
      <w:pPr>
        <w:numPr>
          <w:ilvl w:val="1"/>
          <w:numId w:val="15"/>
        </w:numPr>
      </w:pPr>
      <w:r w:rsidRPr="3BBC83C0">
        <w:t>Plainlanguage summary of the rule, including the April 26, 2027 date for special district governments.</w:t>
      </w:r>
    </w:p>
    <w:p w14:paraId="06A92BCE" w14:textId="77777777" w:rsidR="0010621E" w:rsidRPr="004A39E8" w:rsidRDefault="0010621E" w:rsidP="0010621E">
      <w:pPr>
        <w:ind w:left="720"/>
        <w:rPr>
          <w:lang w:val="en"/>
        </w:rPr>
      </w:pPr>
      <w:hyperlink r:id="rId13" w:history="1">
        <w:r w:rsidRPr="004A39E8">
          <w:rPr>
            <w:rStyle w:val="Hyperlink"/>
            <w:lang w:val="en"/>
          </w:rPr>
          <w:t>State and Local Governments: First Steps Toward Complying with the Web Rule</w:t>
        </w:r>
      </w:hyperlink>
    </w:p>
    <w:p w14:paraId="23023F40" w14:textId="77777777" w:rsidR="0010621E" w:rsidRPr="004A39E8" w:rsidRDefault="0010621E" w:rsidP="3BBC83C0">
      <w:pPr>
        <w:numPr>
          <w:ilvl w:val="1"/>
          <w:numId w:val="15"/>
        </w:numPr>
      </w:pPr>
      <w:r w:rsidRPr="3BBC83C0">
        <w:t>Stepbystep guidance, including a specific section explaining that special district governments must comply by April 2027.</w:t>
      </w:r>
    </w:p>
    <w:p w14:paraId="28EBF51F" w14:textId="7A91AB7A" w:rsidR="001D7412" w:rsidRDefault="001D7412" w:rsidP="004C3587">
      <w:hyperlink r:id="rId14" w:history="1">
        <w:r w:rsidRPr="004C3587">
          <w:rPr>
            <w:rStyle w:val="Hyperlink"/>
          </w:rPr>
          <w:t>Section508.gov</w:t>
        </w:r>
      </w:hyperlink>
      <w:r w:rsidRPr="001D7412">
        <w:t xml:space="preserve"> – main federal hub</w:t>
      </w:r>
    </w:p>
    <w:p w14:paraId="138CEEC1" w14:textId="77777777" w:rsidR="00F57220" w:rsidRDefault="00F57220" w:rsidP="00F57220">
      <w:pPr>
        <w:ind w:left="720"/>
      </w:pPr>
      <w:hyperlink r:id="rId15" w:anchor="/" w:history="1">
        <w:r w:rsidRPr="00270F5B">
          <w:rPr>
            <w:rStyle w:val="Hyperlink"/>
          </w:rPr>
          <w:t>Section 508: What is It and Why Is It Important? - Overview</w:t>
        </w:r>
      </w:hyperlink>
      <w:r>
        <w:t xml:space="preserve">: </w:t>
      </w:r>
      <w:r w:rsidRPr="00882280">
        <w:t>A 60</w:t>
      </w:r>
      <w:r w:rsidRPr="00882280">
        <w:noBreakHyphen/>
        <w:t>minute, web</w:t>
      </w:r>
      <w:r w:rsidRPr="00882280">
        <w:noBreakHyphen/>
        <w:t>based, self</w:t>
      </w:r>
      <w:r w:rsidRPr="00882280">
        <w:noBreakHyphen/>
        <w:t>paced introductory training on Section 508 and accessible information and communication technology (ICT). It explains what Section 508 is, why it matters, basic responsibilities, and available resources.</w:t>
      </w:r>
    </w:p>
    <w:p w14:paraId="33EE0D4C" w14:textId="092E09B6" w:rsidR="00AA73DC" w:rsidRPr="00073BC0" w:rsidRDefault="00AA73DC" w:rsidP="00AA73DC">
      <w:pPr>
        <w:ind w:left="720"/>
      </w:pPr>
      <w:hyperlink r:id="rId16" w:anchor="online-training-courses" w:history="1">
        <w:r w:rsidRPr="00AA73DC">
          <w:rPr>
            <w:rStyle w:val="Hyperlink"/>
          </w:rPr>
          <w:t>Online Training Courses</w:t>
        </w:r>
      </w:hyperlink>
      <w:r w:rsidR="00073BC0">
        <w:t>: Sel</w:t>
      </w:r>
      <w:r w:rsidR="000C28B5">
        <w:t>f-paces courses</w:t>
      </w:r>
      <w:r w:rsidR="00F57220">
        <w:t xml:space="preserve">, </w:t>
      </w:r>
      <w:r w:rsidR="00F57220" w:rsidRPr="00270F5B">
        <w:t>Trainings Tools &amp; Events</w:t>
      </w:r>
    </w:p>
    <w:p w14:paraId="06F4182A" w14:textId="77777777" w:rsidR="00CC0438" w:rsidRPr="00270F5B" w:rsidRDefault="00CC0438" w:rsidP="00CC0438">
      <w:pPr>
        <w:ind w:left="720"/>
      </w:pPr>
      <w:hyperlink r:id="rId17" w:history="1">
        <w:r w:rsidRPr="00270F5B">
          <w:rPr>
            <w:rStyle w:val="Hyperlink"/>
          </w:rPr>
          <w:t>Introduction to the Accessibility Requirements Tool (ART) | Section508.gov</w:t>
        </w:r>
      </w:hyperlink>
    </w:p>
    <w:p w14:paraId="187087E2" w14:textId="524D97D3" w:rsidR="0010621E" w:rsidRDefault="00CC0438" w:rsidP="0010621E">
      <w:pPr>
        <w:ind w:left="720"/>
      </w:pPr>
      <w:hyperlink r:id="rId18" w:history="1">
        <w:r w:rsidRPr="00270F5B">
          <w:rPr>
            <w:rStyle w:val="Hyperlink"/>
          </w:rPr>
          <w:t>Create Accessible Digital Products | Section508.gov</w:t>
        </w:r>
      </w:hyperlink>
      <w:r w:rsidR="00C8045F">
        <w:br/>
      </w:r>
    </w:p>
    <w:p w14:paraId="2CA919F9" w14:textId="14C3583A" w:rsidR="00054A37" w:rsidRPr="00C8045F" w:rsidRDefault="00054A37" w:rsidP="00754E00">
      <w:pPr>
        <w:pStyle w:val="Heading2"/>
        <w:rPr>
          <w:color w:val="auto"/>
        </w:rPr>
      </w:pPr>
      <w:r w:rsidRPr="00C8045F">
        <w:rPr>
          <w:color w:val="auto"/>
        </w:rPr>
        <w:t>Accessible Documents: Word, PowerPoint, and Excel Training Resources</w:t>
      </w:r>
      <w:r w:rsidR="0010621E" w:rsidRPr="00C8045F">
        <w:rPr>
          <w:color w:val="auto"/>
        </w:rPr>
        <w:t>:</w:t>
      </w:r>
    </w:p>
    <w:p w14:paraId="1255CDFB" w14:textId="77777777" w:rsidR="00500EB1" w:rsidRDefault="00DF5D6C" w:rsidP="00DF5D6C">
      <w:pPr>
        <w:spacing w:line="360" w:lineRule="auto"/>
        <w:ind w:left="720"/>
      </w:pPr>
      <w:r w:rsidRPr="00270F5B">
        <w:t xml:space="preserve">Best Practices: </w:t>
      </w:r>
      <w:hyperlink r:id="rId19" w:history="1">
        <w:r w:rsidRPr="00270F5B">
          <w:rPr>
            <w:rStyle w:val="Hyperlink"/>
          </w:rPr>
          <w:t>Microsoft Word &amp; Accessibility Best Practices | Section508.gov</w:t>
        </w:r>
      </w:hyperlink>
    </w:p>
    <w:p w14:paraId="1C33F92B" w14:textId="3C43DBD8" w:rsidR="0010621E" w:rsidRPr="00270F5B" w:rsidRDefault="00DF5D6C" w:rsidP="00DF5D6C">
      <w:pPr>
        <w:spacing w:line="360" w:lineRule="auto"/>
        <w:ind w:left="720"/>
      </w:pPr>
      <w:r>
        <w:lastRenderedPageBreak/>
        <w:t xml:space="preserve">MS Word: </w:t>
      </w:r>
      <w:hyperlink r:id="rId20" w:history="1">
        <w:r w:rsidR="0010621E" w:rsidRPr="00270F5B">
          <w:rPr>
            <w:rStyle w:val="Hyperlink"/>
          </w:rPr>
          <w:t>Documents Training Videos | Section508.gov</w:t>
        </w:r>
      </w:hyperlink>
    </w:p>
    <w:p w14:paraId="131B0346" w14:textId="77777777" w:rsidR="0010621E" w:rsidRPr="00270F5B" w:rsidRDefault="0010621E" w:rsidP="00500EB1">
      <w:pPr>
        <w:pStyle w:val="xmsolistparagraph"/>
        <w:shd w:val="clear" w:color="auto" w:fill="FFFFFF"/>
        <w:spacing w:before="0" w:beforeAutospacing="0" w:after="0" w:afterAutospacing="0" w:line="360" w:lineRule="auto"/>
        <w:ind w:left="720"/>
        <w:rPr>
          <w:rFonts w:asciiTheme="minorHAnsi" w:hAnsiTheme="minorHAnsi"/>
        </w:rPr>
      </w:pPr>
      <w:r w:rsidRPr="00270F5B">
        <w:rPr>
          <w:rFonts w:asciiTheme="minorHAnsi" w:hAnsiTheme="minorHAnsi" w:cs="Segoe UI"/>
          <w:color w:val="242424"/>
        </w:rPr>
        <w:t>Accessibility Checklist for Word:  </w:t>
      </w:r>
      <w:hyperlink r:id="rId21" w:history="1">
        <w:r w:rsidRPr="00270F5B">
          <w:rPr>
            <w:rStyle w:val="Hyperlink"/>
            <w:rFonts w:asciiTheme="minorHAnsi" w:eastAsiaTheme="majorEastAsia" w:hAnsiTheme="minorHAnsi"/>
          </w:rPr>
          <w:t>MSWord2016-Printable-Accessiblility-Checklist.docx</w:t>
        </w:r>
      </w:hyperlink>
    </w:p>
    <w:p w14:paraId="0E5957F2" w14:textId="0F786BF7" w:rsidR="0010621E" w:rsidRPr="00270F5B" w:rsidRDefault="0010621E" w:rsidP="00500EB1">
      <w:pPr>
        <w:spacing w:line="360" w:lineRule="auto"/>
        <w:ind w:left="720"/>
      </w:pPr>
      <w:r w:rsidRPr="00270F5B">
        <w:t xml:space="preserve">PowerPoint: </w:t>
      </w:r>
      <w:hyperlink r:id="rId22" w:history="1">
        <w:r w:rsidRPr="00270F5B">
          <w:rPr>
            <w:rStyle w:val="Hyperlink"/>
          </w:rPr>
          <w:t>Presentations Training Videos | Section508.gov</w:t>
        </w:r>
      </w:hyperlink>
    </w:p>
    <w:p w14:paraId="148F8548" w14:textId="77777777" w:rsidR="0010621E" w:rsidRPr="00270F5B" w:rsidRDefault="0010621E" w:rsidP="00500EB1">
      <w:pPr>
        <w:spacing w:line="360" w:lineRule="auto"/>
        <w:ind w:left="720"/>
      </w:pPr>
      <w:r w:rsidRPr="00270F5B">
        <w:t xml:space="preserve">Create Power Point Templates: </w:t>
      </w:r>
      <w:hyperlink r:id="rId23" w:history="1">
        <w:r w:rsidRPr="00270F5B">
          <w:rPr>
            <w:rStyle w:val="Hyperlink"/>
          </w:rPr>
          <w:t>Creating PowerPoint Templates | Section508.gov</w:t>
        </w:r>
      </w:hyperlink>
    </w:p>
    <w:p w14:paraId="60F8CEA1" w14:textId="77777777" w:rsidR="0010621E" w:rsidRPr="00270F5B" w:rsidRDefault="0010621E" w:rsidP="00500EB1">
      <w:pPr>
        <w:spacing w:line="360" w:lineRule="auto"/>
        <w:ind w:left="720"/>
      </w:pPr>
      <w:r w:rsidRPr="00270F5B">
        <w:t xml:space="preserve">Excel: </w:t>
      </w:r>
      <w:hyperlink r:id="rId24" w:history="1">
        <w:r w:rsidRPr="00270F5B">
          <w:rPr>
            <w:rStyle w:val="Hyperlink"/>
          </w:rPr>
          <w:t>Spreadsheets Training Videos | Section508.gov</w:t>
        </w:r>
      </w:hyperlink>
    </w:p>
    <w:p w14:paraId="5F5EF9A6" w14:textId="2D37C325" w:rsidR="00720F81" w:rsidRPr="00EA4C68" w:rsidRDefault="0010621E" w:rsidP="00EA4C68">
      <w:pPr>
        <w:pStyle w:val="xmsolistparagraph"/>
        <w:shd w:val="clear" w:color="auto" w:fill="FFFFFF"/>
        <w:spacing w:before="0" w:beforeAutospacing="0" w:after="0" w:afterAutospacing="0" w:line="276" w:lineRule="atLeast"/>
        <w:rPr>
          <w:rFonts w:asciiTheme="minorHAnsi" w:hAnsiTheme="minorHAnsi" w:cs="Segoe UI"/>
          <w:color w:val="242424"/>
        </w:rPr>
      </w:pPr>
      <w:r w:rsidRPr="00C8045F">
        <w:rPr>
          <w:rStyle w:val="Heading2Char"/>
          <w:color w:val="auto"/>
        </w:rPr>
        <w:t xml:space="preserve">Adobe Acrobat: </w:t>
      </w:r>
      <w:hyperlink r:id="rId25" w:history="1">
        <w:r w:rsidRPr="00270F5B">
          <w:rPr>
            <w:rStyle w:val="Hyperlink"/>
            <w:rFonts w:asciiTheme="minorHAnsi" w:eastAsiaTheme="majorEastAsia" w:hAnsiTheme="minorHAnsi"/>
          </w:rPr>
          <w:t>PDF Training Videos | Section508.gov</w:t>
        </w:r>
      </w:hyperlink>
    </w:p>
    <w:sectPr w:rsidR="00720F81" w:rsidRPr="00EA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DE71E" w14:textId="77777777" w:rsidR="006D037E" w:rsidRDefault="006D037E" w:rsidP="007B67B0">
      <w:pPr>
        <w:spacing w:after="0" w:line="240" w:lineRule="auto"/>
      </w:pPr>
      <w:r>
        <w:separator/>
      </w:r>
    </w:p>
  </w:endnote>
  <w:endnote w:type="continuationSeparator" w:id="0">
    <w:p w14:paraId="20CA8294" w14:textId="77777777" w:rsidR="006D037E" w:rsidRDefault="006D037E" w:rsidP="007B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3BAE5" w14:textId="77777777" w:rsidR="006D037E" w:rsidRDefault="006D037E" w:rsidP="007B67B0">
      <w:pPr>
        <w:spacing w:after="0" w:line="240" w:lineRule="auto"/>
      </w:pPr>
      <w:r>
        <w:separator/>
      </w:r>
    </w:p>
  </w:footnote>
  <w:footnote w:type="continuationSeparator" w:id="0">
    <w:p w14:paraId="7EFB05A1" w14:textId="77777777" w:rsidR="006D037E" w:rsidRDefault="006D037E" w:rsidP="007B67B0">
      <w:pPr>
        <w:spacing w:after="0" w:line="240" w:lineRule="auto"/>
      </w:pPr>
      <w:r>
        <w:continuationSeparator/>
      </w:r>
    </w:p>
  </w:footnote>
  <w:footnote w:id="1">
    <w:p w14:paraId="134318DD" w14:textId="77777777" w:rsidR="00446292" w:rsidRPr="00446292" w:rsidRDefault="00DC1D96" w:rsidP="00446292">
      <w:pPr>
        <w:pStyle w:val="FootnoteText"/>
        <w:numPr>
          <w:ilvl w:val="0"/>
          <w:numId w:val="17"/>
        </w:numPr>
      </w:pPr>
      <w:r>
        <w:rPr>
          <w:rStyle w:val="FootnoteReference"/>
        </w:rPr>
        <w:footnoteRef/>
      </w:r>
      <w:r>
        <w:t xml:space="preserve"> </w:t>
      </w:r>
      <w:r w:rsidR="00446292" w:rsidRPr="00446292">
        <w:rPr>
          <w:b/>
          <w:bCs/>
        </w:rPr>
        <w:t>“WCAG” (Web Content Accessibility Guidelines)</w:t>
      </w:r>
      <w:r w:rsidR="00446292" w:rsidRPr="00446292">
        <w:t> is an international standard created by the World Wide Web Consortium (W3C) for making web content accessible.</w:t>
      </w:r>
    </w:p>
    <w:p w14:paraId="101D88A4" w14:textId="77777777" w:rsidR="00446292" w:rsidRPr="00446292" w:rsidRDefault="00446292" w:rsidP="00446292">
      <w:pPr>
        <w:pStyle w:val="FootnoteText"/>
        <w:numPr>
          <w:ilvl w:val="0"/>
          <w:numId w:val="17"/>
        </w:numPr>
      </w:pPr>
      <w:r w:rsidRPr="00446292">
        <w:rPr>
          <w:b/>
          <w:bCs/>
        </w:rPr>
        <w:t>“2.1”</w:t>
      </w:r>
      <w:r w:rsidRPr="00446292">
        <w:t> is the version of those guidelines, which adds requirements for mobile use, low vision, and cognitive/learning disabilities on top of the older WCAG 2.0.</w:t>
      </w:r>
    </w:p>
    <w:p w14:paraId="794B677C" w14:textId="6FCB23E3" w:rsidR="00DC1D96" w:rsidRDefault="00446292" w:rsidP="00446292">
      <w:pPr>
        <w:pStyle w:val="FootnoteText"/>
        <w:numPr>
          <w:ilvl w:val="0"/>
          <w:numId w:val="17"/>
        </w:numPr>
      </w:pPr>
      <w:r w:rsidRPr="00446292">
        <w:rPr>
          <w:b/>
          <w:bCs/>
        </w:rPr>
        <w:t>“Level AA”</w:t>
      </w:r>
      <w:r w:rsidRPr="00446292">
        <w:t> is the middle “strength” level of the standard: to be WCAG 2.1 AA conformant, a site must meet all Level A and all Level AA success criteria (things like color contrast, keyboard access, alt text, headings, accessible forms, captions, etc.)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hralign="center" o:bullet="t" o:hrstd="t" o:hr="t" fillcolor="#a0a0a0" stroked="f"/>
    </w:pict>
  </w:numPicBullet>
  <w:numPicBullet w:numPicBulletId="1">
    <w:pict>
      <v:rect id="_x0000_i1026" style="width:0;height:.75pt" o:hralign="center" o:bullet="t" o:hrstd="t" o:hr="t" fillcolor="#a0a0a0" stroked="f"/>
    </w:pict>
  </w:numPicBullet>
  <w:abstractNum w:abstractNumId="0" w15:restartNumberingAfterBreak="0">
    <w:nsid w:val="054C7553"/>
    <w:multiLevelType w:val="multilevel"/>
    <w:tmpl w:val="808E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468D0"/>
    <w:multiLevelType w:val="multilevel"/>
    <w:tmpl w:val="634E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F42F72"/>
    <w:multiLevelType w:val="multilevel"/>
    <w:tmpl w:val="BC801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D50116"/>
    <w:multiLevelType w:val="multilevel"/>
    <w:tmpl w:val="B2A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34D6F"/>
    <w:multiLevelType w:val="multilevel"/>
    <w:tmpl w:val="A2FC1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6610B"/>
    <w:multiLevelType w:val="multilevel"/>
    <w:tmpl w:val="4992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A57F31"/>
    <w:multiLevelType w:val="hybridMultilevel"/>
    <w:tmpl w:val="BB90FDDE"/>
    <w:lvl w:ilvl="0" w:tplc="FAE25C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24E6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04C5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540D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06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7C5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32C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92C3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E015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4B8581B"/>
    <w:multiLevelType w:val="multilevel"/>
    <w:tmpl w:val="BBE6E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2A0150"/>
    <w:multiLevelType w:val="hybridMultilevel"/>
    <w:tmpl w:val="29EA3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7D50"/>
    <w:multiLevelType w:val="multilevel"/>
    <w:tmpl w:val="8B6C2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160A93"/>
    <w:multiLevelType w:val="hybridMultilevel"/>
    <w:tmpl w:val="10EEFF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83CB3"/>
    <w:multiLevelType w:val="multilevel"/>
    <w:tmpl w:val="C9E6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7A25C1E"/>
    <w:multiLevelType w:val="multilevel"/>
    <w:tmpl w:val="5A68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A221B5"/>
    <w:multiLevelType w:val="multilevel"/>
    <w:tmpl w:val="922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205963"/>
    <w:multiLevelType w:val="multilevel"/>
    <w:tmpl w:val="0C68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466140"/>
    <w:multiLevelType w:val="hybridMultilevel"/>
    <w:tmpl w:val="004CD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524602"/>
    <w:multiLevelType w:val="multilevel"/>
    <w:tmpl w:val="200A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834A9A"/>
    <w:multiLevelType w:val="hybridMultilevel"/>
    <w:tmpl w:val="52224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94BE2"/>
    <w:multiLevelType w:val="multilevel"/>
    <w:tmpl w:val="BC56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55D3411"/>
    <w:multiLevelType w:val="multilevel"/>
    <w:tmpl w:val="72A6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7391410">
    <w:abstractNumId w:val="14"/>
  </w:num>
  <w:num w:numId="2" w16cid:durableId="1370376657">
    <w:abstractNumId w:val="16"/>
  </w:num>
  <w:num w:numId="3" w16cid:durableId="1847013858">
    <w:abstractNumId w:val="5"/>
  </w:num>
  <w:num w:numId="4" w16cid:durableId="835806968">
    <w:abstractNumId w:val="17"/>
  </w:num>
  <w:num w:numId="5" w16cid:durableId="1703749785">
    <w:abstractNumId w:val="8"/>
  </w:num>
  <w:num w:numId="6" w16cid:durableId="254023424">
    <w:abstractNumId w:val="19"/>
  </w:num>
  <w:num w:numId="7" w16cid:durableId="1550535296">
    <w:abstractNumId w:val="9"/>
  </w:num>
  <w:num w:numId="8" w16cid:durableId="1604264636">
    <w:abstractNumId w:val="11"/>
  </w:num>
  <w:num w:numId="9" w16cid:durableId="678502605">
    <w:abstractNumId w:val="0"/>
  </w:num>
  <w:num w:numId="10" w16cid:durableId="763653567">
    <w:abstractNumId w:val="7"/>
  </w:num>
  <w:num w:numId="11" w16cid:durableId="1764178787">
    <w:abstractNumId w:val="10"/>
  </w:num>
  <w:num w:numId="12" w16cid:durableId="472062010">
    <w:abstractNumId w:val="1"/>
  </w:num>
  <w:num w:numId="13" w16cid:durableId="1123035554">
    <w:abstractNumId w:val="3"/>
  </w:num>
  <w:num w:numId="14" w16cid:durableId="1327442569">
    <w:abstractNumId w:val="4"/>
  </w:num>
  <w:num w:numId="15" w16cid:durableId="1902211690">
    <w:abstractNumId w:val="2"/>
  </w:num>
  <w:num w:numId="16" w16cid:durableId="1329597141">
    <w:abstractNumId w:val="18"/>
  </w:num>
  <w:num w:numId="17" w16cid:durableId="582760707">
    <w:abstractNumId w:val="12"/>
  </w:num>
  <w:num w:numId="18" w16cid:durableId="438791831">
    <w:abstractNumId w:val="13"/>
  </w:num>
  <w:num w:numId="19" w16cid:durableId="1230191906">
    <w:abstractNumId w:val="6"/>
  </w:num>
  <w:num w:numId="20" w16cid:durableId="730496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F81"/>
    <w:rsid w:val="000043E4"/>
    <w:rsid w:val="000148E6"/>
    <w:rsid w:val="000378EE"/>
    <w:rsid w:val="00054A37"/>
    <w:rsid w:val="00054A4D"/>
    <w:rsid w:val="00056D22"/>
    <w:rsid w:val="00064D75"/>
    <w:rsid w:val="00073BC0"/>
    <w:rsid w:val="000B7B34"/>
    <w:rsid w:val="000C28B5"/>
    <w:rsid w:val="000E0823"/>
    <w:rsid w:val="000F4403"/>
    <w:rsid w:val="00104842"/>
    <w:rsid w:val="0010621E"/>
    <w:rsid w:val="00137CCB"/>
    <w:rsid w:val="001B720B"/>
    <w:rsid w:val="001C17D9"/>
    <w:rsid w:val="001D7412"/>
    <w:rsid w:val="00206223"/>
    <w:rsid w:val="0022123D"/>
    <w:rsid w:val="00260BD0"/>
    <w:rsid w:val="00270F5B"/>
    <w:rsid w:val="00280AD1"/>
    <w:rsid w:val="002E1FD3"/>
    <w:rsid w:val="002F317A"/>
    <w:rsid w:val="00302591"/>
    <w:rsid w:val="003146AF"/>
    <w:rsid w:val="0032589D"/>
    <w:rsid w:val="003262B7"/>
    <w:rsid w:val="0033413A"/>
    <w:rsid w:val="00374AFE"/>
    <w:rsid w:val="0038780C"/>
    <w:rsid w:val="003A7FE8"/>
    <w:rsid w:val="003D60E7"/>
    <w:rsid w:val="00420CAA"/>
    <w:rsid w:val="00446292"/>
    <w:rsid w:val="0047528D"/>
    <w:rsid w:val="004975B4"/>
    <w:rsid w:val="004A39E8"/>
    <w:rsid w:val="004A5574"/>
    <w:rsid w:val="004C3587"/>
    <w:rsid w:val="004C6E85"/>
    <w:rsid w:val="004F01ED"/>
    <w:rsid w:val="00500EB1"/>
    <w:rsid w:val="005F6546"/>
    <w:rsid w:val="00693D09"/>
    <w:rsid w:val="006C6F82"/>
    <w:rsid w:val="006D037E"/>
    <w:rsid w:val="006F614B"/>
    <w:rsid w:val="00720C39"/>
    <w:rsid w:val="00720F81"/>
    <w:rsid w:val="00754E00"/>
    <w:rsid w:val="00763A2B"/>
    <w:rsid w:val="007B2BF6"/>
    <w:rsid w:val="007B67B0"/>
    <w:rsid w:val="007D342B"/>
    <w:rsid w:val="007F5006"/>
    <w:rsid w:val="008255C9"/>
    <w:rsid w:val="0084117E"/>
    <w:rsid w:val="008436C2"/>
    <w:rsid w:val="0085089B"/>
    <w:rsid w:val="00855147"/>
    <w:rsid w:val="00857446"/>
    <w:rsid w:val="00882280"/>
    <w:rsid w:val="00893B3A"/>
    <w:rsid w:val="008E30CD"/>
    <w:rsid w:val="008F30D5"/>
    <w:rsid w:val="00900F02"/>
    <w:rsid w:val="009359FD"/>
    <w:rsid w:val="0095374C"/>
    <w:rsid w:val="00983852"/>
    <w:rsid w:val="009C1D75"/>
    <w:rsid w:val="009D0C6D"/>
    <w:rsid w:val="009E5CA5"/>
    <w:rsid w:val="00A068C7"/>
    <w:rsid w:val="00A13FE9"/>
    <w:rsid w:val="00A469B4"/>
    <w:rsid w:val="00A90147"/>
    <w:rsid w:val="00AA73DC"/>
    <w:rsid w:val="00AC7AD3"/>
    <w:rsid w:val="00BC73DA"/>
    <w:rsid w:val="00BD5088"/>
    <w:rsid w:val="00BE3120"/>
    <w:rsid w:val="00C30932"/>
    <w:rsid w:val="00C3327F"/>
    <w:rsid w:val="00C44884"/>
    <w:rsid w:val="00C647EB"/>
    <w:rsid w:val="00C8045F"/>
    <w:rsid w:val="00CA5359"/>
    <w:rsid w:val="00CC0438"/>
    <w:rsid w:val="00CD215A"/>
    <w:rsid w:val="00CF137C"/>
    <w:rsid w:val="00D81AC6"/>
    <w:rsid w:val="00D835CE"/>
    <w:rsid w:val="00D93B80"/>
    <w:rsid w:val="00DB6748"/>
    <w:rsid w:val="00DC1D96"/>
    <w:rsid w:val="00DF5D6C"/>
    <w:rsid w:val="00E0228A"/>
    <w:rsid w:val="00E0283C"/>
    <w:rsid w:val="00E36AB2"/>
    <w:rsid w:val="00E52EBE"/>
    <w:rsid w:val="00E557F7"/>
    <w:rsid w:val="00E94B03"/>
    <w:rsid w:val="00EA4C68"/>
    <w:rsid w:val="00EC384B"/>
    <w:rsid w:val="00F14F7E"/>
    <w:rsid w:val="00F57220"/>
    <w:rsid w:val="00F832B8"/>
    <w:rsid w:val="00FB1411"/>
    <w:rsid w:val="1BA3D82C"/>
    <w:rsid w:val="379969BA"/>
    <w:rsid w:val="3BBC8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02542"/>
  <w15:chartTrackingRefBased/>
  <w15:docId w15:val="{E562D8BD-36BC-4C4F-BC32-70F6453C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0F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F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F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F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F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F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F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F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F81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72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msolistparagraph">
    <w:name w:val="x_msolistparagraph"/>
    <w:basedOn w:val="Normal"/>
    <w:rsid w:val="0072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20F81"/>
    <w:rPr>
      <w:color w:val="0000FF"/>
      <w:u w:val="single"/>
    </w:rPr>
  </w:style>
  <w:style w:type="character" w:customStyle="1" w:styleId="xmsosmartlink">
    <w:name w:val="x_msosmartlink"/>
    <w:basedOn w:val="DefaultParagraphFont"/>
    <w:rsid w:val="00720F81"/>
  </w:style>
  <w:style w:type="character" w:styleId="FollowedHyperlink">
    <w:name w:val="FollowedHyperlink"/>
    <w:basedOn w:val="DefaultParagraphFont"/>
    <w:uiPriority w:val="99"/>
    <w:semiHidden/>
    <w:unhideWhenUsed/>
    <w:rsid w:val="00720F81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67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67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67B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1D9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1D9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C1D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55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da.gov/resources/web-rule-first-steps/" TargetMode="External"/><Relationship Id="rId18" Type="http://schemas.openxmlformats.org/officeDocument/2006/relationships/hyperlink" Target="https://www.section508.gov/create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view.officeapps.live.com/op/view.aspx?src=https%3A%2F%2Fassets.section508.gov%2Fassets%2Ffiles%2FMSWord2016-Printable-Accessiblility-Checklist.docx&amp;wdOrigin=BROWSELIN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da.gov/resources/2024-03-08-web-rule/" TargetMode="External"/><Relationship Id="rId17" Type="http://schemas.openxmlformats.org/officeDocument/2006/relationships/hyperlink" Target="https://www.section508.gov/training/art/introducing-art/" TargetMode="External"/><Relationship Id="rId25" Type="http://schemas.openxmlformats.org/officeDocument/2006/relationships/hyperlink" Target="https://www.section508.gov/create/pdfs/training-video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ection508.gov/training-home/" TargetMode="External"/><Relationship Id="rId20" Type="http://schemas.openxmlformats.org/officeDocument/2006/relationships/hyperlink" Target="https://www.section508.gov/create/documents/training-video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da.gov/resources/web-guidance/" TargetMode="External"/><Relationship Id="rId24" Type="http://schemas.openxmlformats.org/officeDocument/2006/relationships/hyperlink" Target="https://www.section508.gov/create/spreadsheets/training-video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ection508.gov/assets/online-training/section-508-what-is-it-and-why-its-important/index.html" TargetMode="External"/><Relationship Id="rId23" Type="http://schemas.openxmlformats.org/officeDocument/2006/relationships/hyperlink" Target="https://www.section508.gov/training/presentations/creating-powerpoint-templat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section508.gov/training/online-course/ms-word-best-practic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ection508.gov/" TargetMode="External"/><Relationship Id="rId22" Type="http://schemas.openxmlformats.org/officeDocument/2006/relationships/hyperlink" Target="https://www.section508.gov/create/presentations/training-video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31fd62e0-9399-4265-b5fb-40ac838bc50e" xsi:nil="true"/>
    <_ip_UnifiedCompliancePolicyProperties xmlns="http://schemas.microsoft.com/sharepoint/v3" xsi:nil="true"/>
    <lcf76f155ced4ddcb4097134ff3c332f xmlns="04d381b5-4d15-45b6-9cd7-38992b2a11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650DCDE146A478B1BC5949F602B2E" ma:contentTypeVersion="19" ma:contentTypeDescription="Create a new document." ma:contentTypeScope="" ma:versionID="254a7ce9ee52b8122fcbbec7f8048e6e">
  <xsd:schema xmlns:xsd="http://www.w3.org/2001/XMLSchema" xmlns:xs="http://www.w3.org/2001/XMLSchema" xmlns:p="http://schemas.microsoft.com/office/2006/metadata/properties" xmlns:ns1="http://schemas.microsoft.com/sharepoint/v3" xmlns:ns2="04d381b5-4d15-45b6-9cd7-38992b2a11be" xmlns:ns3="31fd62e0-9399-4265-b5fb-40ac838bc50e" targetNamespace="http://schemas.microsoft.com/office/2006/metadata/properties" ma:root="true" ma:fieldsID="75e5f5019e936e7005c1760beeb6eec3" ns1:_="" ns2:_="" ns3:_="">
    <xsd:import namespace="http://schemas.microsoft.com/sharepoint/v3"/>
    <xsd:import namespace="04d381b5-4d15-45b6-9cd7-38992b2a11be"/>
    <xsd:import namespace="31fd62e0-9399-4265-b5fb-40ac838bc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81b5-4d15-45b6-9cd7-38992b2a1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ed7e3c-a509-4d5c-98b3-887d36f9e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d62e0-9399-4265-b5fb-40ac838bc50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1d71e3-2579-45d9-8185-5ac32a519a4c}" ma:internalName="TaxCatchAll" ma:showField="CatchAllData" ma:web="31fd62e0-9399-4265-b5fb-40ac838b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3AE59-00A2-4DE1-90EB-EFAF99ECB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EEB07F-5090-4D7E-B653-EE2AF56404E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fd62e0-9399-4265-b5fb-40ac838bc50e"/>
    <ds:schemaRef ds:uri="04d381b5-4d15-45b6-9cd7-38992b2a11be"/>
  </ds:schemaRefs>
</ds:datastoreItem>
</file>

<file path=customXml/itemProps3.xml><?xml version="1.0" encoding="utf-8"?>
<ds:datastoreItem xmlns:ds="http://schemas.openxmlformats.org/officeDocument/2006/customXml" ds:itemID="{B0717D57-3E67-4D9D-A563-E6CAB71E2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8273C4-0DCE-498C-AC0D-0FD19497C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d381b5-4d15-45b6-9cd7-38992b2a11be"/>
    <ds:schemaRef ds:uri="31fd62e0-9399-4265-b5fb-40ac838bc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608</Words>
  <Characters>3655</Characters>
  <Application>Microsoft Office Word</Application>
  <DocSecurity>0</DocSecurity>
  <Lines>79</Lines>
  <Paragraphs>59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508 Compliance Resources</dc:title>
  <dc:subject/>
  <dc:creator>Hallsten, Nicole</dc:creator>
  <cp:keywords/>
  <dc:description/>
  <cp:lastModifiedBy>Criswell, Stephanie</cp:lastModifiedBy>
  <cp:revision>13</cp:revision>
  <cp:lastPrinted>2026-04-09T19:19:00Z</cp:lastPrinted>
  <dcterms:created xsi:type="dcterms:W3CDTF">2026-04-13T22:29:00Z</dcterms:created>
  <dcterms:modified xsi:type="dcterms:W3CDTF">2026-04-15T14:38:00Z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0x0101007A3650DCDE146A478B1BC5949F602B2E</vt:lpwstr>
  </property>
  <property fmtid="{D5CDD505-2E9C-101B-9397-08002B2CF9AE}" pid="3" name="MediaServiceImageTags">
    <vt:lpwstr/>
  </property>
</Properties>
</file>