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F89D" w14:textId="77777777" w:rsidR="00E34218" w:rsidRDefault="00FA06A2">
      <w:pPr>
        <w:spacing w:before="180"/>
        <w:ind w:left="2586" w:right="2625"/>
        <w:jc w:val="center"/>
        <w:rPr>
          <w:b/>
          <w:sz w:val="30"/>
        </w:rPr>
      </w:pPr>
      <w:r>
        <w:rPr>
          <w:noProof/>
        </w:rPr>
        <w:drawing>
          <wp:anchor distT="0" distB="0" distL="0" distR="0" simplePos="0" relativeHeight="251655680" behindDoc="0" locked="0" layoutInCell="1" allowOverlap="1" wp14:anchorId="7676C066" wp14:editId="44BFF648">
            <wp:simplePos x="0" y="0"/>
            <wp:positionH relativeFrom="page">
              <wp:posOffset>430529</wp:posOffset>
            </wp:positionH>
            <wp:positionV relativeFrom="paragraph">
              <wp:posOffset>4622</wp:posOffset>
            </wp:positionV>
            <wp:extent cx="795019" cy="795019"/>
            <wp:effectExtent l="0" t="0" r="0" b="0"/>
            <wp:wrapNone/>
            <wp:docPr id="1" name="image1.jpeg" descr="DNRCLogo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95019" cy="795019"/>
                    </a:xfrm>
                    <a:prstGeom prst="rect">
                      <a:avLst/>
                    </a:prstGeom>
                  </pic:spPr>
                </pic:pic>
              </a:graphicData>
            </a:graphic>
          </wp:anchor>
        </w:drawing>
      </w:r>
      <w:r>
        <w:rPr>
          <w:b/>
          <w:sz w:val="30"/>
        </w:rPr>
        <w:t>Montana DNRC Emergency Firefighter (EFF) Information Sheet</w:t>
      </w:r>
    </w:p>
    <w:p w14:paraId="12EE7C19" w14:textId="77777777" w:rsidR="00E34218" w:rsidRDefault="00FA06A2">
      <w:pPr>
        <w:pStyle w:val="Heading1"/>
        <w:spacing w:before="228"/>
        <w:ind w:right="2625"/>
        <w:rPr>
          <w:u w:val="none"/>
        </w:rPr>
      </w:pPr>
      <w:r>
        <w:rPr>
          <w:u w:val="thick"/>
        </w:rPr>
        <w:t>HIRING</w:t>
      </w:r>
    </w:p>
    <w:p w14:paraId="621B957C" w14:textId="77777777" w:rsidR="00E34218" w:rsidRDefault="00FA06A2">
      <w:pPr>
        <w:pStyle w:val="BodyText"/>
        <w:spacing w:before="1"/>
        <w:ind w:left="160" w:right="195"/>
        <w:jc w:val="both"/>
      </w:pPr>
      <w:r>
        <w:t xml:space="preserve">The </w:t>
      </w:r>
      <w:r w:rsidR="00DF3BEC">
        <w:t>S</w:t>
      </w:r>
      <w:r>
        <w:t>tate of Montana DNRC hires casuals, or temporary employees, as state EFF’s. They are not federal AD’s. All hiring paperwork is normally completed and submitted to DNRC payroll in Helena prior to an incident. While EFFs are considered Short Term Workers, they are not held to the 90-working day</w:t>
      </w:r>
      <w:r>
        <w:rPr>
          <w:spacing w:val="-5"/>
        </w:rPr>
        <w:t xml:space="preserve"> </w:t>
      </w:r>
      <w:r>
        <w:t>threshold.</w:t>
      </w:r>
    </w:p>
    <w:p w14:paraId="57429E0C" w14:textId="77777777" w:rsidR="00E34218" w:rsidRDefault="00FA06A2">
      <w:pPr>
        <w:pStyle w:val="ListParagraph"/>
        <w:numPr>
          <w:ilvl w:val="0"/>
          <w:numId w:val="1"/>
        </w:numPr>
        <w:tabs>
          <w:tab w:val="left" w:pos="520"/>
        </w:tabs>
        <w:spacing w:before="4" w:line="237" w:lineRule="auto"/>
        <w:rPr>
          <w:sz w:val="20"/>
        </w:rPr>
      </w:pPr>
      <w:r>
        <w:rPr>
          <w:sz w:val="20"/>
          <w:u w:val="single"/>
        </w:rPr>
        <w:t>Workers Compensation Insurance</w:t>
      </w:r>
      <w:r>
        <w:rPr>
          <w:sz w:val="20"/>
        </w:rPr>
        <w:t xml:space="preserve">: EFF’s are covered under MT Workers Compensation Insurance (MT State Fund: 1-800-332- 6102, team 6). See </w:t>
      </w:r>
      <w:r>
        <w:rPr>
          <w:i/>
          <w:sz w:val="20"/>
        </w:rPr>
        <w:t xml:space="preserve">First Report of Injury </w:t>
      </w:r>
      <w:r>
        <w:rPr>
          <w:sz w:val="20"/>
        </w:rPr>
        <w:t>and reporting</w:t>
      </w:r>
      <w:r>
        <w:rPr>
          <w:spacing w:val="-8"/>
          <w:sz w:val="20"/>
        </w:rPr>
        <w:t xml:space="preserve"> </w:t>
      </w:r>
      <w:r>
        <w:rPr>
          <w:sz w:val="20"/>
        </w:rPr>
        <w:t>instructions.</w:t>
      </w:r>
    </w:p>
    <w:p w14:paraId="31B610B2" w14:textId="77777777" w:rsidR="00E34218" w:rsidRDefault="00FA06A2">
      <w:pPr>
        <w:pStyle w:val="ListParagraph"/>
        <w:numPr>
          <w:ilvl w:val="0"/>
          <w:numId w:val="1"/>
        </w:numPr>
        <w:tabs>
          <w:tab w:val="left" w:pos="520"/>
        </w:tabs>
        <w:ind w:left="519" w:hanging="359"/>
        <w:rPr>
          <w:sz w:val="20"/>
        </w:rPr>
      </w:pPr>
      <w:r>
        <w:rPr>
          <w:sz w:val="20"/>
          <w:u w:val="single"/>
        </w:rPr>
        <w:t>Taxes &amp; Benefits</w:t>
      </w:r>
      <w:r>
        <w:rPr>
          <w:sz w:val="20"/>
        </w:rPr>
        <w:t>: State and federal taxes are deducted from EFF gross earnings and state unemployment insurance is paid by the state. (Social Security taxes are not deducted from EFF earnings). EFF’s are not entitled to sick or annual leave and are not required to participate in the state retirement plan unless already enrolled or work more than 960 hours per</w:t>
      </w:r>
      <w:r>
        <w:rPr>
          <w:spacing w:val="-22"/>
          <w:sz w:val="20"/>
        </w:rPr>
        <w:t xml:space="preserve"> </w:t>
      </w:r>
      <w:r>
        <w:rPr>
          <w:sz w:val="20"/>
        </w:rPr>
        <w:t>year.</w:t>
      </w:r>
    </w:p>
    <w:p w14:paraId="30AB4A71" w14:textId="77777777" w:rsidR="00E34218" w:rsidRDefault="00FA06A2">
      <w:pPr>
        <w:pStyle w:val="ListParagraph"/>
        <w:numPr>
          <w:ilvl w:val="0"/>
          <w:numId w:val="1"/>
        </w:numPr>
        <w:tabs>
          <w:tab w:val="left" w:pos="520"/>
        </w:tabs>
        <w:spacing w:before="1"/>
        <w:ind w:left="519" w:right="194" w:hanging="359"/>
        <w:rPr>
          <w:sz w:val="20"/>
        </w:rPr>
      </w:pPr>
      <w:r>
        <w:rPr>
          <w:sz w:val="20"/>
          <w:u w:val="single"/>
        </w:rPr>
        <w:t>Entitlements:</w:t>
      </w:r>
      <w:r>
        <w:rPr>
          <w:sz w:val="20"/>
        </w:rPr>
        <w:t xml:space="preserve"> If incident commissary is available, EFF’s are granted commissary privileges on a </w:t>
      </w:r>
      <w:r>
        <w:rPr>
          <w:sz w:val="20"/>
          <w:u w:val="single"/>
        </w:rPr>
        <w:t>cash only</w:t>
      </w:r>
      <w:r>
        <w:rPr>
          <w:sz w:val="20"/>
        </w:rPr>
        <w:t xml:space="preserve"> basis. EFF’s earn overtime on greater than 8 hours in a day and greater than 40 hours in a week. Though time is kept on the OF-288, overtime does not need to be computed on an incident; it will be figured when EFF time reports are processed by </w:t>
      </w:r>
      <w:r w:rsidR="00DF3BEC">
        <w:rPr>
          <w:sz w:val="20"/>
        </w:rPr>
        <w:t xml:space="preserve">the </w:t>
      </w:r>
      <w:r>
        <w:rPr>
          <w:sz w:val="20"/>
        </w:rPr>
        <w:t>DNRC Payroll. EFF’s are not entitled to hazard pay</w:t>
      </w:r>
      <w:r w:rsidR="00815F40" w:rsidRPr="00815F40">
        <w:rPr>
          <w:sz w:val="20"/>
        </w:rPr>
        <w:t xml:space="preserve"> </w:t>
      </w:r>
      <w:r w:rsidR="00815F40">
        <w:rPr>
          <w:sz w:val="20"/>
        </w:rPr>
        <w:t>or any other pay differentials</w:t>
      </w:r>
      <w:r>
        <w:rPr>
          <w:sz w:val="20"/>
        </w:rPr>
        <w:t xml:space="preserve">, unless </w:t>
      </w:r>
      <w:r w:rsidR="00815F40">
        <w:rPr>
          <w:sz w:val="20"/>
        </w:rPr>
        <w:t xml:space="preserve">they are </w:t>
      </w:r>
      <w:r>
        <w:rPr>
          <w:sz w:val="20"/>
        </w:rPr>
        <w:t xml:space="preserve">specially trained and </w:t>
      </w:r>
      <w:r w:rsidR="00815F40">
        <w:rPr>
          <w:sz w:val="20"/>
        </w:rPr>
        <w:t xml:space="preserve">are </w:t>
      </w:r>
      <w:r>
        <w:rPr>
          <w:sz w:val="20"/>
        </w:rPr>
        <w:t xml:space="preserve">working on </w:t>
      </w:r>
      <w:r w:rsidR="00815F40">
        <w:rPr>
          <w:sz w:val="20"/>
        </w:rPr>
        <w:t xml:space="preserve">the </w:t>
      </w:r>
      <w:r>
        <w:rPr>
          <w:sz w:val="20"/>
        </w:rPr>
        <w:t>OU3 asbestos area. State employees including EFF’s are entitled to one compensated R&amp;R day upon return home from a 14-day assignment; if the IC feels this is warranted, it can be provided by the incident prior to</w:t>
      </w:r>
      <w:r>
        <w:rPr>
          <w:spacing w:val="-5"/>
          <w:sz w:val="20"/>
        </w:rPr>
        <w:t xml:space="preserve"> </w:t>
      </w:r>
      <w:r w:rsidR="00D02F81">
        <w:rPr>
          <w:sz w:val="20"/>
        </w:rPr>
        <w:t>d</w:t>
      </w:r>
      <w:r>
        <w:rPr>
          <w:sz w:val="20"/>
        </w:rPr>
        <w:t>emob</w:t>
      </w:r>
      <w:r w:rsidR="00D02F81">
        <w:rPr>
          <w:sz w:val="20"/>
        </w:rPr>
        <w:t>ilization</w:t>
      </w:r>
      <w:r>
        <w:rPr>
          <w:sz w:val="20"/>
        </w:rPr>
        <w:t>.</w:t>
      </w:r>
    </w:p>
    <w:p w14:paraId="3653995C" w14:textId="77777777" w:rsidR="00E34218" w:rsidRPr="00D02F81" w:rsidRDefault="00FA06A2" w:rsidP="00D02F81">
      <w:pPr>
        <w:pStyle w:val="ListParagraph"/>
        <w:numPr>
          <w:ilvl w:val="0"/>
          <w:numId w:val="1"/>
        </w:numPr>
        <w:tabs>
          <w:tab w:val="left" w:pos="520"/>
        </w:tabs>
        <w:spacing w:before="8"/>
        <w:ind w:right="197"/>
        <w:rPr>
          <w:sz w:val="19"/>
        </w:rPr>
      </w:pPr>
      <w:r w:rsidRPr="00D02F81">
        <w:rPr>
          <w:sz w:val="20"/>
          <w:u w:val="single"/>
        </w:rPr>
        <w:t>Pay Rates:</w:t>
      </w:r>
      <w:r>
        <w:rPr>
          <w:sz w:val="20"/>
        </w:rPr>
        <w:t xml:space="preserve"> EFF pay rates are determined by the nature of the work assigned. See the NRCG supplement to Chapter 10 of the SIIBM at the following website for Montana EFF pay rates. See NRCG supplement to Chapter 50 for additional EFF info.</w:t>
      </w:r>
      <w:r w:rsidR="00D02F81" w:rsidRPr="00D02F81">
        <w:t xml:space="preserve"> </w:t>
      </w:r>
      <w:hyperlink r:id="rId6" w:history="1">
        <w:r w:rsidR="00C17A78" w:rsidRPr="00CB4761">
          <w:rPr>
            <w:rStyle w:val="Hyperlink"/>
          </w:rPr>
          <w:t>http://dnrc.mt.gov/divisions/forestry/fire-and-aviation/fire-business/forms-and-information</w:t>
        </w:r>
      </w:hyperlink>
      <w:r w:rsidR="00C17A78">
        <w:t xml:space="preserve"> </w:t>
      </w:r>
    </w:p>
    <w:p w14:paraId="402F1CC3" w14:textId="77777777" w:rsidR="00E34218" w:rsidRDefault="00FA06A2">
      <w:pPr>
        <w:pStyle w:val="Heading1"/>
        <w:ind w:left="2584" w:right="2625"/>
        <w:rPr>
          <w:u w:val="none"/>
        </w:rPr>
      </w:pPr>
      <w:bookmarkStart w:id="0" w:name="TRAVEL"/>
      <w:bookmarkEnd w:id="0"/>
      <w:r>
        <w:rPr>
          <w:u w:val="thick"/>
        </w:rPr>
        <w:t>TRAVEL</w:t>
      </w:r>
    </w:p>
    <w:p w14:paraId="6A6F4379" w14:textId="5E7E10C6" w:rsidR="00E34218" w:rsidRDefault="009A77F1">
      <w:pPr>
        <w:pStyle w:val="BodyText"/>
        <w:spacing w:before="2"/>
        <w:ind w:left="160" w:right="193"/>
        <w:jc w:val="both"/>
      </w:pPr>
      <w:r>
        <w:rPr>
          <w:noProof/>
        </w:rPr>
        <mc:AlternateContent>
          <mc:Choice Requires="wpg">
            <w:drawing>
              <wp:anchor distT="0" distB="0" distL="114300" distR="114300" simplePos="0" relativeHeight="251656704" behindDoc="1" locked="0" layoutInCell="1" allowOverlap="1" wp14:anchorId="1358037F" wp14:editId="1D5EF231">
                <wp:simplePos x="0" y="0"/>
                <wp:positionH relativeFrom="page">
                  <wp:posOffset>447675</wp:posOffset>
                </wp:positionH>
                <wp:positionV relativeFrom="paragraph">
                  <wp:posOffset>1212850</wp:posOffset>
                </wp:positionV>
                <wp:extent cx="6896100" cy="859790"/>
                <wp:effectExtent l="0" t="8255" r="0" b="825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859790"/>
                          <a:chOff x="705" y="1910"/>
                          <a:chExt cx="10860" cy="1354"/>
                        </a:xfrm>
                      </wpg:grpSpPr>
                      <wps:wsp>
                        <wps:cNvPr id="6" name="Rectangle 7"/>
                        <wps:cNvSpPr>
                          <a:spLocks noChangeArrowheads="1"/>
                        </wps:cNvSpPr>
                        <wps:spPr bwMode="auto">
                          <a:xfrm>
                            <a:off x="720" y="1924"/>
                            <a:ext cx="10830" cy="132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6"/>
                        <wps:cNvSpPr txBox="1">
                          <a:spLocks noChangeArrowheads="1"/>
                        </wps:cNvSpPr>
                        <wps:spPr bwMode="auto">
                          <a:xfrm>
                            <a:off x="705" y="1909"/>
                            <a:ext cx="10860" cy="1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C5C42" w14:textId="77777777" w:rsidR="00E34218" w:rsidRDefault="00FA06A2">
                              <w:pPr>
                                <w:spacing w:before="101"/>
                                <w:ind w:left="173"/>
                                <w:rPr>
                                  <w:sz w:val="20"/>
                                </w:rPr>
                              </w:pPr>
                              <w:r>
                                <w:rPr>
                                  <w:sz w:val="20"/>
                                  <w:u w:val="single"/>
                                </w:rPr>
                                <w:t>MT Per Diem meal rates (flat rates, receipts not required):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8037F" id="Group 5" o:spid="_x0000_s1026" style="position:absolute;left:0;text-align:left;margin-left:35.25pt;margin-top:95.5pt;width:543pt;height:67.7pt;z-index:-251659776;mso-position-horizontal-relative:page" coordorigin="705,1910" coordsize="1086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RYB1AIAAJgHAAAOAAAAZHJzL2Uyb0RvYy54bWy8Vdtu3CAQfa/Uf0C8N7Y3e7XijdLcVClt&#10;oyb9ABZjGxUDBTZ2+vUdwOsk21atkrZ+sAYPDGfOOeCj474V6I4Zy5UscHaQYsQkVSWXdYE/3168&#10;WWJkHZElEUqyAt8zi4/Xr18ddTpnE9UoUTKDoIi0eacL3Din8ySxtGEtsQdKMwnJSpmWOBiaOikN&#10;6aB6K5JJms6TTplSG0WZtfD1LCbxOtSvKkbdx6qyzCFRYMDmwtuE98a/k/URyWtDdMPpAIM8A0VL&#10;uIRNx1JnxBG0NfyHUi2nRllVuQOq2kRVFacs9ADdZOleN5dGbXXopc67Wo80AbV7PD27LP1wd20Q&#10;Lws8w0iSFiQKu6KZp6bTdQ4zLo2+0dcm9gfhlaJfLKST/bwf13Ey2nTvVQnlyNapQE1fmdaXgKZR&#10;HxS4HxVgvUMUPs6Xq3mWglAUcsvZarEaJKIN6OiXLVIACslslY2p82F1li7nw9rscDb1HSQkj/sG&#10;rAM23xjYzT4wal/G6E1DNAtCWc/XwOh8x+gnsCGRtWBoEVkNs3aU2sgnkuq0gVnsxBjVNYyUACoL&#10;PXi0UDYu8AMLavyW4MUEuAhMTQIVJN+xDDwdjjzF5MgTybWx7pKpFvmgwAbAB/3I3ZV1kdLdFC+n&#10;VBdcCPhOciFR55VJZ2lYYZXgpc/6pDX15lQYdEf8UQzPINCTaS13cCEI3oL+4ySSez7OZRm2cYSL&#10;GANqIYMPIydR2I0q74Efo+Jph9sJgkaZbxh1cNILbL9uiWEYiXcSOF5l0ymw4cJgOgu0mceZzeMM&#10;kRRKFdhhFMNTF6+TrTa8bmCnLPQu1QkYv+KBMa9ZRDWABe/9JxMudia89eq/VT2a73kQuR4+73D/&#10;MzeO5zZdeQBP3PjLU/syNz6x58+94vpND2geBPpj24yWgSDaBYJoFQj+ok3CzQXXf7jMhl+V/788&#10;HgdbPfxQ198BAAD//wMAUEsDBBQABgAIAAAAIQCosVtn4AAAAAsBAAAPAAAAZHJzL2Rvd25yZXYu&#10;eG1sTI9NT4NAEIbvJv6HzZh4s8u2goosTdOop6aJrYnxtoUpkLKzhN0C/fdOT3qcd568H9lysq0Y&#10;sPeNIw1qFoFAKlzZUKXha//+8AzCB0OlaR2hhgt6WOa3N5lJSzfSJw67UAk2IZ8aDXUIXSqlL2q0&#10;xs9ch8S/o+utCXz2lSx7M7K5beU8ihJpTUOcUJsO1zUWp93ZavgYzbhaqLdhczquLz/7ePu9Uaj1&#10;/d20egURcAp/MFzrc3XIudPBnan0otXwFMVMsv6ieNMVUHHC0kHDYp48gswz+X9D/gsAAP//AwBQ&#10;SwECLQAUAAYACAAAACEAtoM4kv4AAADhAQAAEwAAAAAAAAAAAAAAAAAAAAAAW0NvbnRlbnRfVHlw&#10;ZXNdLnhtbFBLAQItABQABgAIAAAAIQA4/SH/1gAAAJQBAAALAAAAAAAAAAAAAAAAAC8BAABfcmVs&#10;cy8ucmVsc1BLAQItABQABgAIAAAAIQBi9RYB1AIAAJgHAAAOAAAAAAAAAAAAAAAAAC4CAABkcnMv&#10;ZTJvRG9jLnhtbFBLAQItABQABgAIAAAAIQCosVtn4AAAAAsBAAAPAAAAAAAAAAAAAAAAAC4FAABk&#10;cnMvZG93bnJldi54bWxQSwUGAAAAAAQABADzAAAAOwYAAAAA&#10;">
                <v:rect id="Rectangle 7" o:spid="_x0000_s1027" style="position:absolute;left:720;top:1924;width:1083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JixAAAANoAAAAPAAAAZHJzL2Rvd25yZXYueG1sRI9Ra8Iw&#10;FIXfB/6HcAd7kZk6RinVKCIMBAfDboJ7uyTXtqy56ZKo9d8vgrDHwznnO5z5crCdOJMPrWMF00kG&#10;glg703Kt4Ovz7bkAESKywc4xKbhSgOVi9DDH0rgL7+hcxVokCIcSFTQx9qWUQTdkMUxcT5y8o/MW&#10;Y5K+lsbjJcFtJ1+yLJcWW04LDfa0bkj/VCerYPyaW7M//F79d7U97D8KvXoPWqmnx2E1AxFpiP/h&#10;e3tjFORwu5JugFz8AQAA//8DAFBLAQItABQABgAIAAAAIQDb4fbL7gAAAIUBAAATAAAAAAAAAAAA&#10;AAAAAAAAAABbQ29udGVudF9UeXBlc10ueG1sUEsBAi0AFAAGAAgAAAAhAFr0LFu/AAAAFQEAAAsA&#10;AAAAAAAAAAAAAAAAHwEAAF9yZWxzLy5yZWxzUEsBAi0AFAAGAAgAAAAhADI2gmLEAAAA2gAAAA8A&#10;AAAAAAAAAAAAAAAABwIAAGRycy9kb3ducmV2LnhtbFBLBQYAAAAAAwADALcAAAD4AgAAAAA=&#10;" filled="f" strokeweight="1.5pt"/>
                <v:shapetype id="_x0000_t202" coordsize="21600,21600" o:spt="202" path="m,l,21600r21600,l21600,xe">
                  <v:stroke joinstyle="miter"/>
                  <v:path gradientshapeok="t" o:connecttype="rect"/>
                </v:shapetype>
                <v:shape id="Text Box 6" o:spid="_x0000_s1028" type="#_x0000_t202" style="position:absolute;left:705;top:1909;width:10860;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FEC5C42" w14:textId="77777777" w:rsidR="00E34218" w:rsidRDefault="00FA06A2">
                        <w:pPr>
                          <w:spacing w:before="101"/>
                          <w:ind w:left="173"/>
                          <w:rPr>
                            <w:sz w:val="20"/>
                          </w:rPr>
                        </w:pPr>
                        <w:r>
                          <w:rPr>
                            <w:sz w:val="20"/>
                            <w:u w:val="single"/>
                          </w:rPr>
                          <w:t>MT Per Diem meal rates (flat rates, receipts not required):</w:t>
                        </w:r>
                      </w:p>
                    </w:txbxContent>
                  </v:textbox>
                </v:shape>
                <w10:wrap anchorx="page"/>
              </v:group>
            </w:pict>
          </mc:Fallback>
        </mc:AlternateContent>
      </w:r>
      <w:r w:rsidR="00FA06A2">
        <w:t>Wh</w:t>
      </w:r>
      <w:r w:rsidR="00815F40">
        <w:t>ile</w:t>
      </w:r>
      <w:r w:rsidR="00FA06A2">
        <w:t xml:space="preserve"> in travel status, meals or lodging expenses m</w:t>
      </w:r>
      <w:r w:rsidR="00DF3BEC">
        <w:t>ay</w:t>
      </w:r>
      <w:r w:rsidR="00FA06A2">
        <w:t xml:space="preserve"> </w:t>
      </w:r>
      <w:r w:rsidR="00DF3BEC">
        <w:t xml:space="preserve">occasionally </w:t>
      </w:r>
      <w:r w:rsidR="00FA06A2">
        <w:t>be paid out of pocket. Reimbursement for such expenses will be in accordance with State of Montana travel policies and state per diem rates. Montana travel and per diem meal rates (in state or out of state, as applicable) always apply, regardless of host agency or location of incident. Lodging reimbursement rates are generally at the current federal lodging rate. Lodging receipts must be submitted</w:t>
      </w:r>
      <w:r w:rsidR="00C675FE">
        <w:t>.</w:t>
      </w:r>
      <w:r w:rsidR="00FA06A2">
        <w:t xml:space="preserve"> Requests for reimbursement of travel expenses must be documented on</w:t>
      </w:r>
      <w:r w:rsidR="00DF3BEC">
        <w:t xml:space="preserve"> a</w:t>
      </w:r>
      <w:r w:rsidR="00FA06A2">
        <w:t xml:space="preserve"> DNRC Travel Expense Voucher</w:t>
      </w:r>
      <w:r w:rsidR="00C675FE">
        <w:t xml:space="preserve"> and</w:t>
      </w:r>
      <w:r w:rsidR="00FA06A2">
        <w:t xml:space="preserve"> submitted to the home unit. Montana travel and per diem policies and forms can be found at the following website: </w:t>
      </w:r>
      <w:hyperlink r:id="rId7">
        <w:r w:rsidR="00FA06A2">
          <w:rPr>
            <w:color w:val="800080"/>
            <w:u w:val="single" w:color="800080"/>
          </w:rPr>
          <w:t>http://dnrc.mt.gov/forestry/fire/business/forms.asp</w:t>
        </w:r>
        <w:r w:rsidR="00FA06A2">
          <w:t xml:space="preserve">. </w:t>
        </w:r>
      </w:hyperlink>
      <w:r w:rsidR="00FA06A2">
        <w:t xml:space="preserve">Higher meal rates may be available in-state for suppression personnel, please contact your hiring office for more information </w:t>
      </w:r>
      <w:r w:rsidR="00815F40">
        <w:t xml:space="preserve">or see </w:t>
      </w:r>
      <w:r w:rsidR="00FA06A2">
        <w:t xml:space="preserve">Chapter 310 of the </w:t>
      </w:r>
      <w:r w:rsidR="00DF3BEC">
        <w:t xml:space="preserve">DNRC </w:t>
      </w:r>
      <w:r w:rsidR="00815F40">
        <w:t>300-Incident</w:t>
      </w:r>
      <w:r w:rsidR="00FA06A2">
        <w:t xml:space="preserve"> Business </w:t>
      </w:r>
      <w:r w:rsidR="00815F40">
        <w:t xml:space="preserve">Management </w:t>
      </w:r>
      <w:r w:rsidR="00FA06A2">
        <w:t>Manual.</w:t>
      </w:r>
    </w:p>
    <w:p w14:paraId="497C629B" w14:textId="77777777" w:rsidR="00E34218" w:rsidRDefault="00E34218">
      <w:pPr>
        <w:pStyle w:val="BodyText"/>
      </w:pPr>
    </w:p>
    <w:p w14:paraId="43DFB27E" w14:textId="77777777" w:rsidR="00E34218" w:rsidRDefault="00E34218">
      <w:pPr>
        <w:pStyle w:val="BodyText"/>
        <w:spacing w:before="5" w:after="1"/>
        <w:rPr>
          <w:sz w:val="15"/>
        </w:rPr>
      </w:pPr>
    </w:p>
    <w:tbl>
      <w:tblPr>
        <w:tblW w:w="0" w:type="auto"/>
        <w:tblInd w:w="167" w:type="dxa"/>
        <w:tblLayout w:type="fixed"/>
        <w:tblCellMar>
          <w:left w:w="0" w:type="dxa"/>
          <w:right w:w="0" w:type="dxa"/>
        </w:tblCellMar>
        <w:tblLook w:val="01E0" w:firstRow="1" w:lastRow="1" w:firstColumn="1" w:lastColumn="1" w:noHBand="0" w:noVBand="0"/>
      </w:tblPr>
      <w:tblGrid>
        <w:gridCol w:w="1556"/>
        <w:gridCol w:w="1863"/>
        <w:gridCol w:w="1659"/>
        <w:gridCol w:w="1330"/>
        <w:gridCol w:w="1327"/>
        <w:gridCol w:w="1584"/>
      </w:tblGrid>
      <w:tr w:rsidR="00E34218" w14:paraId="14CACF66" w14:textId="77777777">
        <w:trPr>
          <w:trHeight w:val="225"/>
        </w:trPr>
        <w:tc>
          <w:tcPr>
            <w:tcW w:w="1556" w:type="dxa"/>
          </w:tcPr>
          <w:p w14:paraId="77CF71F9" w14:textId="77777777" w:rsidR="00E34218" w:rsidRDefault="00FA06A2">
            <w:pPr>
              <w:pStyle w:val="TableParagraph"/>
              <w:spacing w:line="205" w:lineRule="exact"/>
              <w:ind w:left="158"/>
              <w:rPr>
                <w:sz w:val="20"/>
              </w:rPr>
            </w:pPr>
            <w:r>
              <w:rPr>
                <w:sz w:val="20"/>
                <w:u w:val="single"/>
              </w:rPr>
              <w:t>In state:</w:t>
            </w:r>
          </w:p>
        </w:tc>
        <w:tc>
          <w:tcPr>
            <w:tcW w:w="1863" w:type="dxa"/>
          </w:tcPr>
          <w:p w14:paraId="6C54545E" w14:textId="77777777" w:rsidR="00E34218" w:rsidRDefault="00FA06A2">
            <w:pPr>
              <w:pStyle w:val="TableParagraph"/>
              <w:spacing w:line="205" w:lineRule="exact"/>
              <w:ind w:left="762"/>
              <w:rPr>
                <w:sz w:val="20"/>
              </w:rPr>
            </w:pPr>
            <w:r>
              <w:rPr>
                <w:sz w:val="20"/>
              </w:rPr>
              <w:t>Breakfast</w:t>
            </w:r>
          </w:p>
        </w:tc>
        <w:tc>
          <w:tcPr>
            <w:tcW w:w="1659" w:type="dxa"/>
          </w:tcPr>
          <w:p w14:paraId="7A357E2D" w14:textId="77777777" w:rsidR="00E34218" w:rsidRDefault="00FA06A2">
            <w:pPr>
              <w:pStyle w:val="TableParagraph"/>
              <w:spacing w:line="205" w:lineRule="exact"/>
              <w:ind w:left="339"/>
              <w:rPr>
                <w:sz w:val="20"/>
              </w:rPr>
            </w:pPr>
            <w:r>
              <w:rPr>
                <w:sz w:val="20"/>
              </w:rPr>
              <w:t>$7.50</w:t>
            </w:r>
          </w:p>
        </w:tc>
        <w:tc>
          <w:tcPr>
            <w:tcW w:w="1330" w:type="dxa"/>
          </w:tcPr>
          <w:p w14:paraId="71367111" w14:textId="77777777" w:rsidR="00E34218" w:rsidRDefault="00FA06A2">
            <w:pPr>
              <w:pStyle w:val="TableParagraph"/>
              <w:spacing w:line="205" w:lineRule="exact"/>
              <w:ind w:left="120"/>
              <w:rPr>
                <w:sz w:val="20"/>
              </w:rPr>
            </w:pPr>
            <w:r>
              <w:rPr>
                <w:sz w:val="20"/>
                <w:u w:val="single"/>
              </w:rPr>
              <w:t>Out of state:</w:t>
            </w:r>
          </w:p>
        </w:tc>
        <w:tc>
          <w:tcPr>
            <w:tcW w:w="1327" w:type="dxa"/>
          </w:tcPr>
          <w:p w14:paraId="509C8898" w14:textId="77777777" w:rsidR="00E34218" w:rsidRDefault="00FA06A2">
            <w:pPr>
              <w:pStyle w:val="TableParagraph"/>
              <w:spacing w:line="205" w:lineRule="exact"/>
              <w:ind w:left="230"/>
              <w:rPr>
                <w:sz w:val="20"/>
              </w:rPr>
            </w:pPr>
            <w:r>
              <w:rPr>
                <w:sz w:val="20"/>
              </w:rPr>
              <w:t>Breakfast</w:t>
            </w:r>
          </w:p>
        </w:tc>
        <w:tc>
          <w:tcPr>
            <w:tcW w:w="1584" w:type="dxa"/>
          </w:tcPr>
          <w:p w14:paraId="20310CF5" w14:textId="77777777" w:rsidR="00E34218" w:rsidRDefault="00FA06A2">
            <w:pPr>
              <w:pStyle w:val="TableParagraph"/>
              <w:spacing w:line="205" w:lineRule="exact"/>
              <w:ind w:left="343"/>
              <w:rPr>
                <w:sz w:val="20"/>
              </w:rPr>
            </w:pPr>
            <w:r>
              <w:rPr>
                <w:sz w:val="20"/>
              </w:rPr>
              <w:t>$13.00</w:t>
            </w:r>
          </w:p>
        </w:tc>
      </w:tr>
      <w:tr w:rsidR="00E34218" w14:paraId="769BCC58" w14:textId="77777777">
        <w:trPr>
          <w:trHeight w:val="230"/>
        </w:trPr>
        <w:tc>
          <w:tcPr>
            <w:tcW w:w="1556" w:type="dxa"/>
          </w:tcPr>
          <w:p w14:paraId="43833EF7" w14:textId="77777777" w:rsidR="00E34218" w:rsidRDefault="00E34218">
            <w:pPr>
              <w:pStyle w:val="TableParagraph"/>
              <w:rPr>
                <w:sz w:val="16"/>
              </w:rPr>
            </w:pPr>
          </w:p>
        </w:tc>
        <w:tc>
          <w:tcPr>
            <w:tcW w:w="1863" w:type="dxa"/>
          </w:tcPr>
          <w:p w14:paraId="1D136B70" w14:textId="77777777" w:rsidR="00E34218" w:rsidRDefault="00FA06A2">
            <w:pPr>
              <w:pStyle w:val="TableParagraph"/>
              <w:spacing w:line="210" w:lineRule="exact"/>
              <w:ind w:left="762"/>
              <w:rPr>
                <w:sz w:val="20"/>
              </w:rPr>
            </w:pPr>
            <w:r>
              <w:rPr>
                <w:sz w:val="20"/>
              </w:rPr>
              <w:t>Lunch</w:t>
            </w:r>
          </w:p>
        </w:tc>
        <w:tc>
          <w:tcPr>
            <w:tcW w:w="1659" w:type="dxa"/>
          </w:tcPr>
          <w:p w14:paraId="0D0D7C23" w14:textId="77777777" w:rsidR="00E34218" w:rsidRDefault="00FA06A2">
            <w:pPr>
              <w:pStyle w:val="TableParagraph"/>
              <w:spacing w:line="210" w:lineRule="exact"/>
              <w:ind w:left="338"/>
              <w:rPr>
                <w:sz w:val="20"/>
              </w:rPr>
            </w:pPr>
            <w:r>
              <w:rPr>
                <w:sz w:val="20"/>
              </w:rPr>
              <w:t>$8.50</w:t>
            </w:r>
          </w:p>
        </w:tc>
        <w:tc>
          <w:tcPr>
            <w:tcW w:w="1330" w:type="dxa"/>
          </w:tcPr>
          <w:p w14:paraId="595FF306" w14:textId="77777777" w:rsidR="00E34218" w:rsidRDefault="00E34218">
            <w:pPr>
              <w:pStyle w:val="TableParagraph"/>
              <w:rPr>
                <w:sz w:val="16"/>
              </w:rPr>
            </w:pPr>
          </w:p>
        </w:tc>
        <w:tc>
          <w:tcPr>
            <w:tcW w:w="1327" w:type="dxa"/>
          </w:tcPr>
          <w:p w14:paraId="50FB22BE" w14:textId="77777777" w:rsidR="00E34218" w:rsidRDefault="00FA06A2">
            <w:pPr>
              <w:pStyle w:val="TableParagraph"/>
              <w:spacing w:line="210" w:lineRule="exact"/>
              <w:ind w:left="229"/>
              <w:rPr>
                <w:sz w:val="20"/>
              </w:rPr>
            </w:pPr>
            <w:r>
              <w:rPr>
                <w:sz w:val="20"/>
              </w:rPr>
              <w:t>Lunch:</w:t>
            </w:r>
          </w:p>
        </w:tc>
        <w:tc>
          <w:tcPr>
            <w:tcW w:w="1584" w:type="dxa"/>
          </w:tcPr>
          <w:p w14:paraId="4D70ACA3" w14:textId="1AE74669" w:rsidR="00E34218" w:rsidRDefault="00FA06A2">
            <w:pPr>
              <w:pStyle w:val="TableParagraph"/>
              <w:spacing w:line="210" w:lineRule="exact"/>
              <w:ind w:left="342"/>
              <w:rPr>
                <w:sz w:val="20"/>
              </w:rPr>
            </w:pPr>
            <w:r>
              <w:rPr>
                <w:sz w:val="20"/>
              </w:rPr>
              <w:t>$1</w:t>
            </w:r>
            <w:r w:rsidR="000D60ED">
              <w:rPr>
                <w:sz w:val="20"/>
              </w:rPr>
              <w:t>5</w:t>
            </w:r>
            <w:r>
              <w:rPr>
                <w:sz w:val="20"/>
              </w:rPr>
              <w:t>.00</w:t>
            </w:r>
          </w:p>
        </w:tc>
      </w:tr>
      <w:tr w:rsidR="00E34218" w14:paraId="574CC7D5" w14:textId="77777777">
        <w:trPr>
          <w:trHeight w:val="230"/>
        </w:trPr>
        <w:tc>
          <w:tcPr>
            <w:tcW w:w="1556" w:type="dxa"/>
          </w:tcPr>
          <w:p w14:paraId="51FB31B8" w14:textId="77777777" w:rsidR="00E34218" w:rsidRDefault="00E34218">
            <w:pPr>
              <w:pStyle w:val="TableParagraph"/>
              <w:rPr>
                <w:sz w:val="16"/>
              </w:rPr>
            </w:pPr>
          </w:p>
        </w:tc>
        <w:tc>
          <w:tcPr>
            <w:tcW w:w="1863" w:type="dxa"/>
          </w:tcPr>
          <w:p w14:paraId="2CAF5376" w14:textId="77777777" w:rsidR="00E34218" w:rsidRDefault="00FA06A2">
            <w:pPr>
              <w:pStyle w:val="TableParagraph"/>
              <w:spacing w:line="210" w:lineRule="exact"/>
              <w:ind w:left="762"/>
              <w:rPr>
                <w:sz w:val="20"/>
              </w:rPr>
            </w:pPr>
            <w:r>
              <w:rPr>
                <w:sz w:val="20"/>
              </w:rPr>
              <w:t>Dinner</w:t>
            </w:r>
          </w:p>
        </w:tc>
        <w:tc>
          <w:tcPr>
            <w:tcW w:w="1659" w:type="dxa"/>
          </w:tcPr>
          <w:p w14:paraId="5D2193C2" w14:textId="77777777" w:rsidR="00E34218" w:rsidRDefault="00FA06A2">
            <w:pPr>
              <w:pStyle w:val="TableParagraph"/>
              <w:spacing w:line="210" w:lineRule="exact"/>
              <w:ind w:left="338"/>
              <w:rPr>
                <w:sz w:val="20"/>
              </w:rPr>
            </w:pPr>
            <w:r>
              <w:rPr>
                <w:sz w:val="20"/>
                <w:u w:val="single"/>
              </w:rPr>
              <w:t>$14.50</w:t>
            </w:r>
          </w:p>
        </w:tc>
        <w:tc>
          <w:tcPr>
            <w:tcW w:w="1330" w:type="dxa"/>
          </w:tcPr>
          <w:p w14:paraId="6C2E54A9" w14:textId="77777777" w:rsidR="00E34218" w:rsidRDefault="00E34218">
            <w:pPr>
              <w:pStyle w:val="TableParagraph"/>
              <w:rPr>
                <w:sz w:val="16"/>
              </w:rPr>
            </w:pPr>
          </w:p>
        </w:tc>
        <w:tc>
          <w:tcPr>
            <w:tcW w:w="1327" w:type="dxa"/>
          </w:tcPr>
          <w:p w14:paraId="4872D9C5" w14:textId="77777777" w:rsidR="00E34218" w:rsidRDefault="00FA06A2">
            <w:pPr>
              <w:pStyle w:val="TableParagraph"/>
              <w:spacing w:line="210" w:lineRule="exact"/>
              <w:ind w:left="229"/>
              <w:rPr>
                <w:sz w:val="20"/>
              </w:rPr>
            </w:pPr>
            <w:r>
              <w:rPr>
                <w:sz w:val="20"/>
              </w:rPr>
              <w:t>Dinner:</w:t>
            </w:r>
          </w:p>
        </w:tc>
        <w:tc>
          <w:tcPr>
            <w:tcW w:w="1584" w:type="dxa"/>
          </w:tcPr>
          <w:p w14:paraId="79193680" w14:textId="3584ECD5" w:rsidR="00E34218" w:rsidRDefault="00FA06A2">
            <w:pPr>
              <w:pStyle w:val="TableParagraph"/>
              <w:spacing w:line="210" w:lineRule="exact"/>
              <w:ind w:left="342"/>
              <w:rPr>
                <w:sz w:val="20"/>
              </w:rPr>
            </w:pPr>
            <w:r>
              <w:rPr>
                <w:sz w:val="20"/>
                <w:u w:val="single"/>
              </w:rPr>
              <w:t>$2</w:t>
            </w:r>
            <w:r w:rsidR="000D60ED">
              <w:rPr>
                <w:sz w:val="20"/>
                <w:u w:val="single"/>
              </w:rPr>
              <w:t>6</w:t>
            </w:r>
            <w:r>
              <w:rPr>
                <w:sz w:val="20"/>
                <w:u w:val="single"/>
              </w:rPr>
              <w:t>.00</w:t>
            </w:r>
          </w:p>
        </w:tc>
      </w:tr>
      <w:tr w:rsidR="00E34218" w14:paraId="4B99FC59" w14:textId="77777777">
        <w:trPr>
          <w:trHeight w:val="312"/>
        </w:trPr>
        <w:tc>
          <w:tcPr>
            <w:tcW w:w="1556" w:type="dxa"/>
          </w:tcPr>
          <w:p w14:paraId="379B0F9F" w14:textId="77777777" w:rsidR="00E34218" w:rsidRDefault="00E34218">
            <w:pPr>
              <w:pStyle w:val="TableParagraph"/>
              <w:rPr>
                <w:sz w:val="18"/>
              </w:rPr>
            </w:pPr>
          </w:p>
        </w:tc>
        <w:tc>
          <w:tcPr>
            <w:tcW w:w="1863" w:type="dxa"/>
          </w:tcPr>
          <w:p w14:paraId="52B3070D" w14:textId="77777777" w:rsidR="00E34218" w:rsidRDefault="00E34218">
            <w:pPr>
              <w:pStyle w:val="TableParagraph"/>
              <w:rPr>
                <w:sz w:val="18"/>
              </w:rPr>
            </w:pPr>
          </w:p>
        </w:tc>
        <w:tc>
          <w:tcPr>
            <w:tcW w:w="1659" w:type="dxa"/>
          </w:tcPr>
          <w:p w14:paraId="392251B8" w14:textId="77777777" w:rsidR="00E34218" w:rsidRDefault="00FA06A2">
            <w:pPr>
              <w:pStyle w:val="TableParagraph"/>
              <w:spacing w:line="226" w:lineRule="exact"/>
              <w:ind w:left="339"/>
              <w:rPr>
                <w:sz w:val="20"/>
              </w:rPr>
            </w:pPr>
            <w:r>
              <w:rPr>
                <w:sz w:val="20"/>
              </w:rPr>
              <w:t>$30.50 per day</w:t>
            </w:r>
          </w:p>
        </w:tc>
        <w:tc>
          <w:tcPr>
            <w:tcW w:w="1330" w:type="dxa"/>
          </w:tcPr>
          <w:p w14:paraId="74A5CB12" w14:textId="77777777" w:rsidR="00E34218" w:rsidRDefault="00E34218">
            <w:pPr>
              <w:pStyle w:val="TableParagraph"/>
              <w:rPr>
                <w:sz w:val="18"/>
              </w:rPr>
            </w:pPr>
          </w:p>
        </w:tc>
        <w:tc>
          <w:tcPr>
            <w:tcW w:w="1327" w:type="dxa"/>
          </w:tcPr>
          <w:p w14:paraId="176C5978" w14:textId="77777777" w:rsidR="00E34218" w:rsidRDefault="00E34218">
            <w:pPr>
              <w:pStyle w:val="TableParagraph"/>
              <w:rPr>
                <w:sz w:val="18"/>
              </w:rPr>
            </w:pPr>
          </w:p>
        </w:tc>
        <w:tc>
          <w:tcPr>
            <w:tcW w:w="1584" w:type="dxa"/>
          </w:tcPr>
          <w:p w14:paraId="32B101AC" w14:textId="477E742E" w:rsidR="00E34218" w:rsidRDefault="00FA06A2">
            <w:pPr>
              <w:pStyle w:val="TableParagraph"/>
              <w:spacing w:line="226" w:lineRule="exact"/>
              <w:ind w:left="343"/>
              <w:rPr>
                <w:sz w:val="20"/>
              </w:rPr>
            </w:pPr>
            <w:r>
              <w:rPr>
                <w:sz w:val="20"/>
              </w:rPr>
              <w:t>$5</w:t>
            </w:r>
            <w:r w:rsidR="000D60ED">
              <w:rPr>
                <w:sz w:val="20"/>
              </w:rPr>
              <w:t>4</w:t>
            </w:r>
            <w:r>
              <w:rPr>
                <w:sz w:val="20"/>
              </w:rPr>
              <w:t>.00 per day</w:t>
            </w:r>
          </w:p>
        </w:tc>
      </w:tr>
    </w:tbl>
    <w:p w14:paraId="6D72CC81" w14:textId="77777777" w:rsidR="00E34218" w:rsidRDefault="00E34218">
      <w:pPr>
        <w:pStyle w:val="BodyText"/>
        <w:rPr>
          <w:sz w:val="22"/>
        </w:rPr>
      </w:pPr>
    </w:p>
    <w:p w14:paraId="681C5976" w14:textId="77777777" w:rsidR="00E34218" w:rsidRDefault="00FA06A2">
      <w:pPr>
        <w:pStyle w:val="Heading1"/>
        <w:ind w:right="2624"/>
        <w:rPr>
          <w:u w:val="none"/>
        </w:rPr>
      </w:pPr>
      <w:r>
        <w:rPr>
          <w:u w:val="thick"/>
        </w:rPr>
        <w:t>VEHICLE USE</w:t>
      </w:r>
    </w:p>
    <w:p w14:paraId="22A0F396" w14:textId="77777777" w:rsidR="00E34218" w:rsidRDefault="00FA06A2">
      <w:pPr>
        <w:pStyle w:val="BodyText"/>
        <w:spacing w:before="2"/>
        <w:ind w:left="160" w:right="196" w:hanging="1"/>
        <w:jc w:val="both"/>
      </w:pPr>
      <w:r>
        <w:t>The dispatch office should arrange for travel to and from the incident. Prior authorization is required for use of a personal vehicle.  The State of Montana Personal Vehicle Use Authorization Form must be completed and approved by an authorized agency official. If approved to use a personal vehicle, the EFF will be reimbursed for mileage at state rates. This request for reimbursement should be documented on a Travel Expense Voucher. If the vehicle is specifically ordered on a Resource Order for use on the incident, it should be signed up on an EERA at the home unit and paid at a daily and/or mileage rate, as</w:t>
      </w:r>
      <w:r>
        <w:rPr>
          <w:spacing w:val="-8"/>
        </w:rPr>
        <w:t xml:space="preserve"> </w:t>
      </w:r>
      <w:r>
        <w:t>applicable.</w:t>
      </w:r>
    </w:p>
    <w:p w14:paraId="13AD94AA" w14:textId="29526B76" w:rsidR="00E34218" w:rsidRDefault="009A77F1">
      <w:pPr>
        <w:pStyle w:val="BodyText"/>
        <w:spacing w:before="8"/>
        <w:rPr>
          <w:sz w:val="17"/>
        </w:rPr>
      </w:pPr>
      <w:r>
        <w:rPr>
          <w:noProof/>
        </w:rPr>
        <mc:AlternateContent>
          <mc:Choice Requires="wps">
            <w:drawing>
              <wp:anchor distT="0" distB="0" distL="0" distR="0" simplePos="0" relativeHeight="251657728" behindDoc="1" locked="0" layoutInCell="1" allowOverlap="1" wp14:anchorId="328AE2B9" wp14:editId="2A9ECE05">
                <wp:simplePos x="0" y="0"/>
                <wp:positionH relativeFrom="page">
                  <wp:posOffset>457200</wp:posOffset>
                </wp:positionH>
                <wp:positionV relativeFrom="paragraph">
                  <wp:posOffset>159385</wp:posOffset>
                </wp:positionV>
                <wp:extent cx="6916420" cy="904240"/>
                <wp:effectExtent l="9525" t="7620" r="8255" b="1206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904240"/>
                        </a:xfrm>
                        <a:prstGeom prst="rect">
                          <a:avLst/>
                        </a:prstGeom>
                        <a:noFill/>
                        <a:ln w="914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246D62" w14:textId="77777777" w:rsidR="00E34218" w:rsidRDefault="00FA06A2">
                            <w:pPr>
                              <w:spacing w:before="152"/>
                              <w:ind w:left="3715"/>
                              <w:rPr>
                                <w:b/>
                                <w:sz w:val="24"/>
                              </w:rPr>
                            </w:pPr>
                            <w:bookmarkStart w:id="1" w:name="***PAYMENT_DOCUMENTS***"/>
                            <w:bookmarkEnd w:id="1"/>
                            <w:r>
                              <w:rPr>
                                <w:b/>
                                <w:sz w:val="24"/>
                                <w:u w:val="thick"/>
                              </w:rPr>
                              <w:t>***PAYMENT DOCUMENTS***</w:t>
                            </w:r>
                          </w:p>
                          <w:p w14:paraId="4C854A87" w14:textId="77777777" w:rsidR="00E34218" w:rsidRDefault="00FA06A2">
                            <w:pPr>
                              <w:pStyle w:val="BodyText"/>
                              <w:spacing w:before="139"/>
                              <w:ind w:left="211"/>
                            </w:pPr>
                            <w:r>
                              <w:rPr>
                                <w:u w:val="single"/>
                              </w:rPr>
                              <w:t>ALL PAYMENTS FOR EFF’S AND/OR LOCAL GOVERNMENT FORCES ARE PROCESSED THROUGH THE HOME</w:t>
                            </w:r>
                          </w:p>
                          <w:p w14:paraId="3088F5AF" w14:textId="77777777" w:rsidR="00E34218" w:rsidRDefault="00FA06A2">
                            <w:pPr>
                              <w:pStyle w:val="BodyText"/>
                              <w:ind w:left="211"/>
                            </w:pPr>
                            <w:r>
                              <w:rPr>
                                <w:u w:val="single"/>
                              </w:rPr>
                              <w:t>UNIT (DNRC HIRING OFFICE)</w:t>
                            </w:r>
                            <w:r>
                              <w:t xml:space="preserve">. The crew representative (or individual) must bring the </w:t>
                            </w:r>
                            <w:r w:rsidRPr="00D02F81">
                              <w:rPr>
                                <w:b/>
                              </w:rPr>
                              <w:t xml:space="preserve">original </w:t>
                            </w:r>
                            <w:r>
                              <w:t>payment documents back to the home unit for processing. MT DNRC is the only payment agency for EFF’s and local government equipment from Montana.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AE2B9" id="Text Box 4" o:spid="_x0000_s1029" type="#_x0000_t202" style="position:absolute;margin-left:36pt;margin-top:12.55pt;width:544.6pt;height:71.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qQIwIAACkEAAAOAAAAZHJzL2Uyb0RvYy54bWysU9tu2zAMfR+wfxD0vjgJgqA14hRdug4D&#10;ugvQ7gNoWbaFSaImKbGzrx8lJ2mwvQ3zg0CL5BF5Drm5G41mB+mDQlvxxWzOmbQCG2W7in9/eXx3&#10;w1mIYBvQaGXFjzLwu+3bN5vBlXKJPepGekYgNpSDq3gfoyuLIoheGggzdNKSs0VvINKv74rGw0Do&#10;RhfL+XxdDOgb51HIEOj2YXLybcZvWyni17YNMjJdcaot5tPns05nsd1A2XlwvRKnMuAfqjCgLD16&#10;gXqACGzv1V9QRgmPAds4E2gKbFslZO6BulnM/+jmuQcncy9ETnAXmsL/gxVfDt88U03FV5xZMCTR&#10;ixwje48jWyV2BhdKCnp2FBZHuiaVc6fBPaH4EZjFXQ+2k/fe49BLaKi6RcosrlInnJBA6uEzNvQM&#10;7CNmoLH1JlFHZDBCJ5WOF2VSKYIu17eL9WpJLkG+2/lqucrSFVCes50P8aNEw5JRcU/KZ3Q4PIWY&#10;qoHyHJIes/iotM7qa8sGAl2siAFhHFHR1HpqEbVqUlzKCL6rd9qzA6RRyl/ukjzXYUZFGmitTMVv&#10;LkFQJmI+2CY/GEHpyaaitD0xlciZaIpjPWZJMo2JxRqbI1HncZpf2jcyevS/OBtodisefu7BS870&#10;J0v0p0E/G/5s1GcDrKDUikfOJnMXp4XYO6+6npAngS3ek0Styuy9VnEql+Yxk3ranTTw1/856nXD&#10;t78BAAD//wMAUEsDBBQABgAIAAAAIQCdXI4l3wAAAAoBAAAPAAAAZHJzL2Rvd25yZXYueG1sTI/B&#10;TsMwEETvSP0Haytxo3YiNalCnKpCAnHgQtpDj068JFHjdWq7beDrcU9wm9WsZt6U29mM7IrOD5Yk&#10;JCsBDKm1eqBOwmH/+rQB5oMirUZLKOEbPWyrxUOpCm1v9InXOnQshpAvlIQ+hKng3Lc9GuVXdkKK&#10;3pd1RoV4uo5rp24x3Iw8FSLjRg0UG3o14UuP7am+GAkn/aOFOOPx3b7tszp85E7wRsrH5bx7BhZw&#10;Dn/PcMeP6FBFpsZeSHs2SsjTOCVISNcJsLufZEkKrIkqy9fAq5L/n1D9AgAA//8DAFBLAQItABQA&#10;BgAIAAAAIQC2gziS/gAAAOEBAAATAAAAAAAAAAAAAAAAAAAAAABbQ29udGVudF9UeXBlc10ueG1s&#10;UEsBAi0AFAAGAAgAAAAhADj9If/WAAAAlAEAAAsAAAAAAAAAAAAAAAAALwEAAF9yZWxzLy5yZWxz&#10;UEsBAi0AFAAGAAgAAAAhAK2vCpAjAgAAKQQAAA4AAAAAAAAAAAAAAAAALgIAAGRycy9lMm9Eb2Mu&#10;eG1sUEsBAi0AFAAGAAgAAAAhAJ1cjiXfAAAACgEAAA8AAAAAAAAAAAAAAAAAfQQAAGRycy9kb3du&#10;cmV2LnhtbFBLBQYAAAAABAAEAPMAAACJBQAAAAA=&#10;" filled="f" strokeweight=".72pt">
                <v:stroke linestyle="thinThin"/>
                <v:textbox inset="0,0,0,0">
                  <w:txbxContent>
                    <w:p w14:paraId="6C246D62" w14:textId="77777777" w:rsidR="00E34218" w:rsidRDefault="00FA06A2">
                      <w:pPr>
                        <w:spacing w:before="152"/>
                        <w:ind w:left="3715"/>
                        <w:rPr>
                          <w:b/>
                          <w:sz w:val="24"/>
                        </w:rPr>
                      </w:pPr>
                      <w:bookmarkStart w:id="2" w:name="***PAYMENT_DOCUMENTS***"/>
                      <w:bookmarkEnd w:id="2"/>
                      <w:r>
                        <w:rPr>
                          <w:b/>
                          <w:sz w:val="24"/>
                          <w:u w:val="thick"/>
                        </w:rPr>
                        <w:t>***PAYMENT DOCUMENTS***</w:t>
                      </w:r>
                    </w:p>
                    <w:p w14:paraId="4C854A87" w14:textId="77777777" w:rsidR="00E34218" w:rsidRDefault="00FA06A2">
                      <w:pPr>
                        <w:pStyle w:val="BodyText"/>
                        <w:spacing w:before="139"/>
                        <w:ind w:left="211"/>
                      </w:pPr>
                      <w:r>
                        <w:rPr>
                          <w:u w:val="single"/>
                        </w:rPr>
                        <w:t>ALL PAYMENTS FOR EFF’S AND/OR LOCAL GOVERNMENT FORCES ARE PROCESSED THROUGH THE HOME</w:t>
                      </w:r>
                    </w:p>
                    <w:p w14:paraId="3088F5AF" w14:textId="77777777" w:rsidR="00E34218" w:rsidRDefault="00FA06A2">
                      <w:pPr>
                        <w:pStyle w:val="BodyText"/>
                        <w:ind w:left="211"/>
                      </w:pPr>
                      <w:r>
                        <w:rPr>
                          <w:u w:val="single"/>
                        </w:rPr>
                        <w:t>UNIT (DNRC HIRING OFFICE)</w:t>
                      </w:r>
                      <w:r>
                        <w:t xml:space="preserve">. The crew representative (or individual) must bring the </w:t>
                      </w:r>
                      <w:r w:rsidRPr="00D02F81">
                        <w:rPr>
                          <w:b/>
                        </w:rPr>
                        <w:t xml:space="preserve">original </w:t>
                      </w:r>
                      <w:r>
                        <w:t>payment documents back to the home unit for processing. MT DNRC is the only payment agency for EFF’s and local government equipment from Montana.</w:t>
                      </w:r>
                    </w:p>
                  </w:txbxContent>
                </v:textbox>
                <w10:wrap type="topAndBottom" anchorx="page"/>
              </v:shape>
            </w:pict>
          </mc:Fallback>
        </mc:AlternateContent>
      </w:r>
    </w:p>
    <w:p w14:paraId="052D0911" w14:textId="77777777" w:rsidR="00E34218" w:rsidRDefault="00E34218">
      <w:pPr>
        <w:pStyle w:val="BodyText"/>
        <w:spacing w:before="9"/>
        <w:rPr>
          <w:sz w:val="10"/>
        </w:rPr>
      </w:pPr>
    </w:p>
    <w:p w14:paraId="2BC17358" w14:textId="77777777" w:rsidR="00E34218" w:rsidRDefault="00FA06A2">
      <w:pPr>
        <w:pStyle w:val="Heading1"/>
        <w:spacing w:before="90"/>
        <w:ind w:left="1482"/>
        <w:jc w:val="left"/>
        <w:rPr>
          <w:u w:val="none"/>
        </w:rPr>
      </w:pPr>
      <w:bookmarkStart w:id="3" w:name="HOME_UNIT_CONTACT_INFORMATION_(hiring_La"/>
      <w:bookmarkEnd w:id="3"/>
      <w:r>
        <w:rPr>
          <w:u w:val="thick"/>
        </w:rPr>
        <w:t>HOME UNIT CONTACT INFORMATION (hiring Land Office or Unit Office)</w:t>
      </w:r>
    </w:p>
    <w:p w14:paraId="3772CA37" w14:textId="77777777" w:rsidR="00E34218" w:rsidRDefault="00FA06A2">
      <w:pPr>
        <w:pStyle w:val="BodyText"/>
        <w:tabs>
          <w:tab w:val="left" w:pos="1599"/>
          <w:tab w:val="left" w:pos="5199"/>
          <w:tab w:val="left" w:pos="5919"/>
          <w:tab w:val="left" w:pos="7359"/>
          <w:tab w:val="left" w:pos="10239"/>
        </w:tabs>
        <w:spacing w:before="184"/>
        <w:ind w:left="160"/>
      </w:pPr>
      <w:r>
        <w:t>Address:</w:t>
      </w:r>
      <w:r>
        <w:tab/>
      </w:r>
      <w:r>
        <w:rPr>
          <w:u w:val="single"/>
        </w:rPr>
        <w:t xml:space="preserve"> </w:t>
      </w:r>
      <w:r>
        <w:rPr>
          <w:u w:val="single"/>
        </w:rPr>
        <w:tab/>
      </w:r>
      <w:r>
        <w:tab/>
        <w:t>Phone:</w:t>
      </w:r>
      <w:r>
        <w:tab/>
      </w:r>
      <w:r>
        <w:rPr>
          <w:w w:val="99"/>
          <w:u w:val="single"/>
        </w:rPr>
        <w:t xml:space="preserve"> </w:t>
      </w:r>
      <w:r>
        <w:rPr>
          <w:u w:val="single"/>
        </w:rPr>
        <w:tab/>
      </w:r>
    </w:p>
    <w:p w14:paraId="49C47240" w14:textId="77777777" w:rsidR="00E34218" w:rsidRDefault="00E34218">
      <w:pPr>
        <w:pStyle w:val="BodyText"/>
        <w:spacing w:before="1"/>
        <w:rPr>
          <w:sz w:val="12"/>
        </w:rPr>
      </w:pPr>
    </w:p>
    <w:p w14:paraId="105FEC07" w14:textId="77777777" w:rsidR="00E34218" w:rsidRDefault="00FA06A2">
      <w:pPr>
        <w:pStyle w:val="BodyText"/>
        <w:tabs>
          <w:tab w:val="left" w:pos="5199"/>
          <w:tab w:val="left" w:pos="5919"/>
          <w:tab w:val="left" w:pos="7359"/>
          <w:tab w:val="left" w:pos="10239"/>
        </w:tabs>
        <w:spacing w:before="91"/>
        <w:ind w:left="1600"/>
      </w:pPr>
      <w:r>
        <w:rPr>
          <w:w w:val="99"/>
          <w:u w:val="single"/>
        </w:rPr>
        <w:t xml:space="preserve"> </w:t>
      </w:r>
      <w:r>
        <w:rPr>
          <w:u w:val="single"/>
        </w:rPr>
        <w:tab/>
      </w:r>
      <w:r>
        <w:tab/>
        <w:t>Contacts:</w:t>
      </w:r>
      <w:r>
        <w:tab/>
      </w:r>
      <w:r>
        <w:rPr>
          <w:w w:val="99"/>
          <w:u w:val="single"/>
        </w:rPr>
        <w:t xml:space="preserve"> </w:t>
      </w:r>
      <w:r>
        <w:rPr>
          <w:u w:val="single"/>
        </w:rPr>
        <w:tab/>
      </w:r>
    </w:p>
    <w:p w14:paraId="4AEE75CD" w14:textId="77777777" w:rsidR="00E34218" w:rsidRDefault="00E34218">
      <w:pPr>
        <w:pStyle w:val="BodyText"/>
      </w:pPr>
    </w:p>
    <w:p w14:paraId="392A0839" w14:textId="0742A6A8" w:rsidR="00E34218" w:rsidRDefault="009A77F1">
      <w:pPr>
        <w:pStyle w:val="BodyText"/>
        <w:spacing w:before="9"/>
        <w:rPr>
          <w:sz w:val="14"/>
        </w:rPr>
      </w:pPr>
      <w:r>
        <w:rPr>
          <w:noProof/>
        </w:rPr>
        <mc:AlternateContent>
          <mc:Choice Requires="wps">
            <w:drawing>
              <wp:anchor distT="0" distB="0" distL="0" distR="0" simplePos="0" relativeHeight="251658752" behindDoc="1" locked="0" layoutInCell="1" allowOverlap="1" wp14:anchorId="1528A6E8" wp14:editId="77014861">
                <wp:simplePos x="0" y="0"/>
                <wp:positionH relativeFrom="page">
                  <wp:posOffset>1371600</wp:posOffset>
                </wp:positionH>
                <wp:positionV relativeFrom="paragraph">
                  <wp:posOffset>136525</wp:posOffset>
                </wp:positionV>
                <wp:extent cx="2286000" cy="0"/>
                <wp:effectExtent l="9525" t="6350" r="9525" b="1270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33ED5"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0.75pt" to="4in,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6vwEAAGkDAAAOAAAAZHJzL2Uyb0RvYy54bWysU02P2yAQvVfqf0DcGztZKdpacfaQ7faS&#10;tpF2+wMmgG20wCAgsfPvO5CPbttbtT4ghpl5vPcGrx4ma9hRhajRtXw+qzlTTqDUrm/5z5enT/ec&#10;xQROgkGnWn5SkT+sP35Yjb5RCxzQSBUYgbjYjL7lQ0q+qaooBmUhztArR8kOg4VEYegrGWAkdGuq&#10;RV0vqxGD9AGFipFOH89Jvi74XadE+tF1USVmWk7cUllDWfd5rdYraPoAftDiQgP+g4UF7ejSG9Qj&#10;JGCHoP+BsloEjNilmUBbYddpoYoGUjOv/1LzPIBXRQuZE/3Npvh+sOL7cReYli2/48yBpRFttVPs&#10;Ljsz+thQwcbtQtYmJvfstyheI3O4GcD1qjB8OXlqm+eO6o+WHERP+PvxG0qqgUPCYtPUBZshyQA2&#10;lWmcbtNQU2KCDheL+2Vd09DENVdBc230IaavCi3Lm5Yb4lyA4biNKROB5lqS73H4pI0pwzaOjS1f&#10;1p+XpSGi0TInc1kM/X5jAjtCfi7lK6oo87Ys4MHJAjYokF8u+wTanPd0uXEXM7L+s5N7lKdduJpE&#10;8ywsL28vP5i3cen+/YesfwEAAP//AwBQSwMEFAAGAAgAAAAhALRlRwXeAAAACQEAAA8AAABkcnMv&#10;ZG93bnJldi54bWxMj0FPwkAQhe8m/ofNmHCTLSRArd0So4GEgzEC8bx0x7a2O9t0F1r+PdN40NvM&#10;m5c330vXg23EBTtfOVIwm0YgkHJnKioUHA+bxxiED5qMbhyhgit6WGf3d6lOjOvpEy/7UAgOIZ9o&#10;BWUIbSKlz0u02k9di8S3b9dZHXjtCmk63XO4beQ8ipbS6or4Q6lbfC0xr/dnq+A9lm/uo/7Krz/9&#10;YRvHu/pptTsqNXkYXp5BBBzCnxlGfEaHjJlO7kzGi0bBfLbkLmEcFiDYsFiNwulXkFkq/zfIbgAA&#10;AP//AwBQSwECLQAUAAYACAAAACEAtoM4kv4AAADhAQAAEwAAAAAAAAAAAAAAAAAAAAAAW0NvbnRl&#10;bnRfVHlwZXNdLnhtbFBLAQItABQABgAIAAAAIQA4/SH/1gAAAJQBAAALAAAAAAAAAAAAAAAAAC8B&#10;AABfcmVscy8ucmVsc1BLAQItABQABgAIAAAAIQBx+kT6vwEAAGkDAAAOAAAAAAAAAAAAAAAAAC4C&#10;AABkcnMvZTJvRG9jLnhtbFBLAQItABQABgAIAAAAIQC0ZUcF3gAAAAkBAAAPAAAAAAAAAAAAAAAA&#10;ABkEAABkcnMvZG93bnJldi54bWxQSwUGAAAAAAQABADzAAAAJAUAAAAA&#10;" strokeweight=".48pt">
                <w10:wrap type="topAndBottom" anchorx="page"/>
              </v:line>
            </w:pict>
          </mc:Fallback>
        </mc:AlternateContent>
      </w:r>
      <w:r>
        <w:rPr>
          <w:noProof/>
        </w:rPr>
        <mc:AlternateContent>
          <mc:Choice Requires="wps">
            <w:drawing>
              <wp:anchor distT="0" distB="0" distL="0" distR="0" simplePos="0" relativeHeight="251659776" behindDoc="1" locked="0" layoutInCell="1" allowOverlap="1" wp14:anchorId="5397C1A3" wp14:editId="668CCE27">
                <wp:simplePos x="0" y="0"/>
                <wp:positionH relativeFrom="page">
                  <wp:posOffset>5029200</wp:posOffset>
                </wp:positionH>
                <wp:positionV relativeFrom="paragraph">
                  <wp:posOffset>136525</wp:posOffset>
                </wp:positionV>
                <wp:extent cx="1828800" cy="0"/>
                <wp:effectExtent l="9525" t="6350" r="9525"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ADE58"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pt,10.75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OQvgEAAGkDAAAOAAAAZHJzL2Uyb0RvYy54bWysU8uu2yAQ3VfqPyD2jR0votSKcxe5j03a&#10;Rrq3HzABbKMCg4DEyd93II/etruqXiCGmTmccwavHk7WsKMKUaPr+HxWc6acQKnd0PHvb8+flpzF&#10;BE6CQac6flaRP6w/flhNvlUNjmikCoxAXGwn3/ExJd9WVRSjshBn6JWjZI/BQqIwDJUMMBG6NVVT&#10;14tqwiB9QKFipNPHS5KvC37fK5G+9X1UiZmOE7dU1lDWfV6r9QraIYAftbjSgH9gYUE7uvQO9QgJ&#10;2CHov6CsFgEj9mkm0FbY91qoooHUzOs/1LyO4FXRQuZEf7cp/j9Y8fW4C0zLjjecObA0oq12ijXZ&#10;mcnHlgo2bheyNnFyr36L4kdkDjcjuEEVhm9nT23z3FH91pKD6Al/P31BSTVwSFhsOvXBZkgygJ3K&#10;NM73aahTYoIO58tmuaxpaOKWq6C9NfoQ04tCy/Km44Y4F2A4bmPKRKC9leR7HD5rY8qwjWNTxxf1&#10;50VpiGi0zMlcFsOw35jAjpCfS/mKKsq8Lwt4cLKAjQrk03WfQJvLni437mpG1n9xco/yvAs3k2ie&#10;heX17eUH8z4u3b/+kPVPAAAA//8DAFBLAwQUAAYACAAAACEA5qtupd8AAAAKAQAADwAAAGRycy9k&#10;b3ducmV2LnhtbEyPzU7DMBCE70i8g7VIvVG7kUrdEKdCIJB6QKg/4uzGSxISr6PYbdK3xxWH9riz&#10;o5lvstVoW3bC3teOFMymAhhS4UxNpYL97v1RAvNBk9GtI1RwRg+r/P4u06lxA23wtA0liyHkU62g&#10;CqFLOfdFhVb7qeuQ4u/H9VaHePYlN70eYrhteSLEE7e6pthQ6Q5fKyya7dEq+JT8zX0138X5d9h9&#10;SLlulov1XqnJw/jyDCzgGK5muOBHdMgj08EdyXjWKlgsk7glKEhmc2AXg5AiKod/hecZv52Q/wEA&#10;AP//AwBQSwECLQAUAAYACAAAACEAtoM4kv4AAADhAQAAEwAAAAAAAAAAAAAAAAAAAAAAW0NvbnRl&#10;bnRfVHlwZXNdLnhtbFBLAQItABQABgAIAAAAIQA4/SH/1gAAAJQBAAALAAAAAAAAAAAAAAAAAC8B&#10;AABfcmVscy8ucmVsc1BLAQItABQABgAIAAAAIQCgNOOQvgEAAGkDAAAOAAAAAAAAAAAAAAAAAC4C&#10;AABkcnMvZTJvRG9jLnhtbFBLAQItABQABgAIAAAAIQDmq26l3wAAAAoBAAAPAAAAAAAAAAAAAAAA&#10;ABgEAABkcnMvZG93bnJldi54bWxQSwUGAAAAAAQABADzAAAAJAUAAAAA&#10;" strokeweight=".48pt">
                <w10:wrap type="topAndBottom" anchorx="page"/>
              </v:line>
            </w:pict>
          </mc:Fallback>
        </mc:AlternateContent>
      </w:r>
    </w:p>
    <w:p w14:paraId="1C8A48E1" w14:textId="77777777" w:rsidR="00E34218" w:rsidRDefault="00E34218">
      <w:pPr>
        <w:pStyle w:val="BodyText"/>
        <w:spacing w:before="4"/>
        <w:rPr>
          <w:sz w:val="22"/>
        </w:rPr>
      </w:pPr>
    </w:p>
    <w:p w14:paraId="001A8EDF" w14:textId="77777777" w:rsidR="00E34218" w:rsidRDefault="00FA06A2">
      <w:pPr>
        <w:spacing w:before="95"/>
        <w:ind w:left="160" w:right="2385"/>
        <w:rPr>
          <w:sz w:val="16"/>
        </w:rPr>
      </w:pPr>
      <w:r>
        <w:rPr>
          <w:sz w:val="16"/>
          <w:u w:val="single"/>
        </w:rPr>
        <w:t>DNRC hiring official:</w:t>
      </w:r>
      <w:r>
        <w:rPr>
          <w:sz w:val="16"/>
        </w:rPr>
        <w:t xml:space="preserve"> Attach blank First Report of Injury and reporting instructions to this form; give to each EFF at time of hire. </w:t>
      </w:r>
      <w:r>
        <w:rPr>
          <w:sz w:val="16"/>
          <w:u w:val="single"/>
        </w:rPr>
        <w:t>EFF:</w:t>
      </w:r>
      <w:r>
        <w:rPr>
          <w:sz w:val="16"/>
        </w:rPr>
        <w:t xml:space="preserve"> Carry this form and a copy with </w:t>
      </w:r>
      <w:r>
        <w:rPr>
          <w:spacing w:val="-2"/>
          <w:sz w:val="16"/>
        </w:rPr>
        <w:t xml:space="preserve">you </w:t>
      </w:r>
      <w:r>
        <w:rPr>
          <w:sz w:val="16"/>
        </w:rPr>
        <w:t>on incident assignments. Present copy to Finance</w:t>
      </w:r>
      <w:r>
        <w:rPr>
          <w:spacing w:val="-14"/>
          <w:sz w:val="16"/>
        </w:rPr>
        <w:t xml:space="preserve"> </w:t>
      </w:r>
      <w:r>
        <w:rPr>
          <w:sz w:val="16"/>
        </w:rPr>
        <w:t>Section.</w:t>
      </w:r>
    </w:p>
    <w:p w14:paraId="15E7BE28" w14:textId="4AED3C34" w:rsidR="00E34218" w:rsidRDefault="00FA06A2">
      <w:pPr>
        <w:spacing w:line="183" w:lineRule="exact"/>
        <w:ind w:right="862"/>
        <w:jc w:val="right"/>
        <w:rPr>
          <w:sz w:val="16"/>
        </w:rPr>
      </w:pPr>
      <w:r>
        <w:rPr>
          <w:sz w:val="16"/>
        </w:rPr>
        <w:t xml:space="preserve">Rev. </w:t>
      </w:r>
      <w:r w:rsidR="000D60ED">
        <w:rPr>
          <w:sz w:val="16"/>
        </w:rPr>
        <w:t>10</w:t>
      </w:r>
      <w:r>
        <w:rPr>
          <w:sz w:val="16"/>
        </w:rPr>
        <w:t>/202</w:t>
      </w:r>
      <w:r w:rsidR="000D60ED">
        <w:rPr>
          <w:sz w:val="16"/>
        </w:rPr>
        <w:t>1</w:t>
      </w:r>
    </w:p>
    <w:sectPr w:rsidR="00E34218">
      <w:type w:val="continuous"/>
      <w:pgSz w:w="12240" w:h="15840"/>
      <w:pgMar w:top="180" w:right="52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C5ABB"/>
    <w:multiLevelType w:val="hybridMultilevel"/>
    <w:tmpl w:val="ED14D31C"/>
    <w:lvl w:ilvl="0" w:tplc="5B66DBF4">
      <w:numFmt w:val="bullet"/>
      <w:lvlText w:val=""/>
      <w:lvlJc w:val="left"/>
      <w:pPr>
        <w:ind w:left="520" w:hanging="360"/>
      </w:pPr>
      <w:rPr>
        <w:rFonts w:ascii="Symbol" w:eastAsia="Symbol" w:hAnsi="Symbol" w:cs="Symbol" w:hint="default"/>
        <w:w w:val="99"/>
        <w:sz w:val="20"/>
        <w:szCs w:val="20"/>
        <w:lang w:val="en-US" w:eastAsia="en-US" w:bidi="en-US"/>
      </w:rPr>
    </w:lvl>
    <w:lvl w:ilvl="1" w:tplc="DD164FF2">
      <w:numFmt w:val="bullet"/>
      <w:lvlText w:val="•"/>
      <w:lvlJc w:val="left"/>
      <w:pPr>
        <w:ind w:left="1584" w:hanging="360"/>
      </w:pPr>
      <w:rPr>
        <w:rFonts w:hint="default"/>
        <w:lang w:val="en-US" w:eastAsia="en-US" w:bidi="en-US"/>
      </w:rPr>
    </w:lvl>
    <w:lvl w:ilvl="2" w:tplc="8B803EAE">
      <w:numFmt w:val="bullet"/>
      <w:lvlText w:val="•"/>
      <w:lvlJc w:val="left"/>
      <w:pPr>
        <w:ind w:left="2648" w:hanging="360"/>
      </w:pPr>
      <w:rPr>
        <w:rFonts w:hint="default"/>
        <w:lang w:val="en-US" w:eastAsia="en-US" w:bidi="en-US"/>
      </w:rPr>
    </w:lvl>
    <w:lvl w:ilvl="3" w:tplc="25BE3E0E">
      <w:numFmt w:val="bullet"/>
      <w:lvlText w:val="•"/>
      <w:lvlJc w:val="left"/>
      <w:pPr>
        <w:ind w:left="3712" w:hanging="360"/>
      </w:pPr>
      <w:rPr>
        <w:rFonts w:hint="default"/>
        <w:lang w:val="en-US" w:eastAsia="en-US" w:bidi="en-US"/>
      </w:rPr>
    </w:lvl>
    <w:lvl w:ilvl="4" w:tplc="0EFC1B20">
      <w:numFmt w:val="bullet"/>
      <w:lvlText w:val="•"/>
      <w:lvlJc w:val="left"/>
      <w:pPr>
        <w:ind w:left="4776" w:hanging="360"/>
      </w:pPr>
      <w:rPr>
        <w:rFonts w:hint="default"/>
        <w:lang w:val="en-US" w:eastAsia="en-US" w:bidi="en-US"/>
      </w:rPr>
    </w:lvl>
    <w:lvl w:ilvl="5" w:tplc="05C2578A">
      <w:numFmt w:val="bullet"/>
      <w:lvlText w:val="•"/>
      <w:lvlJc w:val="left"/>
      <w:pPr>
        <w:ind w:left="5840" w:hanging="360"/>
      </w:pPr>
      <w:rPr>
        <w:rFonts w:hint="default"/>
        <w:lang w:val="en-US" w:eastAsia="en-US" w:bidi="en-US"/>
      </w:rPr>
    </w:lvl>
    <w:lvl w:ilvl="6" w:tplc="D86E9294">
      <w:numFmt w:val="bullet"/>
      <w:lvlText w:val="•"/>
      <w:lvlJc w:val="left"/>
      <w:pPr>
        <w:ind w:left="6904" w:hanging="360"/>
      </w:pPr>
      <w:rPr>
        <w:rFonts w:hint="default"/>
        <w:lang w:val="en-US" w:eastAsia="en-US" w:bidi="en-US"/>
      </w:rPr>
    </w:lvl>
    <w:lvl w:ilvl="7" w:tplc="DA42D6E2">
      <w:numFmt w:val="bullet"/>
      <w:lvlText w:val="•"/>
      <w:lvlJc w:val="left"/>
      <w:pPr>
        <w:ind w:left="7968" w:hanging="360"/>
      </w:pPr>
      <w:rPr>
        <w:rFonts w:hint="default"/>
        <w:lang w:val="en-US" w:eastAsia="en-US" w:bidi="en-US"/>
      </w:rPr>
    </w:lvl>
    <w:lvl w:ilvl="8" w:tplc="47AE2E2A">
      <w:numFmt w:val="bullet"/>
      <w:lvlText w:val="•"/>
      <w:lvlJc w:val="left"/>
      <w:pPr>
        <w:ind w:left="903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18"/>
    <w:rsid w:val="000D60ED"/>
    <w:rsid w:val="005D68F7"/>
    <w:rsid w:val="006C4A91"/>
    <w:rsid w:val="00815F40"/>
    <w:rsid w:val="009A77F1"/>
    <w:rsid w:val="00C17A78"/>
    <w:rsid w:val="00C675FE"/>
    <w:rsid w:val="00D02F81"/>
    <w:rsid w:val="00DF3BEC"/>
    <w:rsid w:val="00E34218"/>
    <w:rsid w:val="00FA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EAD554D"/>
  <w15:docId w15:val="{906B37C0-35BA-47AB-A827-412525F3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586"/>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19" w:right="196"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15F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F40"/>
    <w:rPr>
      <w:rFonts w:ascii="Segoe UI" w:eastAsia="Times New Roman" w:hAnsi="Segoe UI" w:cs="Segoe UI"/>
      <w:sz w:val="18"/>
      <w:szCs w:val="18"/>
      <w:lang w:bidi="en-US"/>
    </w:rPr>
  </w:style>
  <w:style w:type="character" w:styleId="Hyperlink">
    <w:name w:val="Hyperlink"/>
    <w:basedOn w:val="DefaultParagraphFont"/>
    <w:uiPriority w:val="99"/>
    <w:unhideWhenUsed/>
    <w:rsid w:val="00C17A78"/>
    <w:rPr>
      <w:color w:val="0000FF" w:themeColor="hyperlink"/>
      <w:u w:val="single"/>
    </w:rPr>
  </w:style>
  <w:style w:type="character" w:styleId="UnresolvedMention">
    <w:name w:val="Unresolved Mention"/>
    <w:basedOn w:val="DefaultParagraphFont"/>
    <w:uiPriority w:val="99"/>
    <w:semiHidden/>
    <w:unhideWhenUsed/>
    <w:rsid w:val="00C17A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nrc.mt.gov/forestry/fire/business/form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nrc.mt.gov/divisions/forestry/fire-and-aviation/fire-business/forms-and-informat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636</Words>
  <Characters>3628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Montana DNRC Emergency Firefighter (EFF) Information</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DNRC Emergency Firefighter (EFF) Information</dc:title>
  <dc:creator>CO3337</dc:creator>
  <cp:lastModifiedBy>Robinson, Linda</cp:lastModifiedBy>
  <cp:revision>2</cp:revision>
  <dcterms:created xsi:type="dcterms:W3CDTF">2021-11-01T22:39:00Z</dcterms:created>
  <dcterms:modified xsi:type="dcterms:W3CDTF">2021-11-01T22:39:00Z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Acrobat PDFMaker 19 for Word</vt:lpwstr>
  </property>
  <property fmtid="{D5CDD505-2E9C-101B-9397-08002B2CF9AE}" pid="4" name="LastSaved">
    <vt:filetime>2020-01-08T00:00:00Z</vt:filetime>
  </property>
</Properties>
</file>